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07BD" w14:textId="77777777" w:rsidR="00D56B82" w:rsidRDefault="00D56B82" w:rsidP="00A31F16">
      <w:pPr>
        <w:jc w:val="center"/>
        <w:rPr>
          <w:rFonts w:ascii="Arial" w:hAnsi="Arial" w:cs="Arial"/>
          <w:sz w:val="24"/>
          <w:szCs w:val="24"/>
          <w:lang w:val="es-MX"/>
        </w:rPr>
      </w:pPr>
      <w:r>
        <w:rPr>
          <w:rFonts w:ascii="Arial" w:hAnsi="Arial" w:cs="Arial"/>
          <w:noProof/>
          <w:sz w:val="24"/>
          <w:szCs w:val="24"/>
          <w:lang w:val="es-MX"/>
        </w:rPr>
        <w:drawing>
          <wp:inline distT="0" distB="0" distL="0" distR="0" wp14:anchorId="497E2EF5" wp14:editId="75B7304D">
            <wp:extent cx="5943600" cy="904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unicado de Prensa Ba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904240"/>
                    </a:xfrm>
                    <a:prstGeom prst="rect">
                      <a:avLst/>
                    </a:prstGeom>
                  </pic:spPr>
                </pic:pic>
              </a:graphicData>
            </a:graphic>
          </wp:inline>
        </w:drawing>
      </w:r>
    </w:p>
    <w:p w14:paraId="450AC2D0" w14:textId="77777777" w:rsidR="00D56B82" w:rsidRDefault="00D56B82" w:rsidP="00A31F16">
      <w:pPr>
        <w:jc w:val="center"/>
        <w:rPr>
          <w:rFonts w:ascii="Arial" w:hAnsi="Arial" w:cs="Arial"/>
          <w:sz w:val="24"/>
          <w:szCs w:val="24"/>
          <w:lang w:val="es-MX"/>
        </w:rPr>
      </w:pPr>
    </w:p>
    <w:p w14:paraId="48E087CB" w14:textId="77777777" w:rsidR="001858FC" w:rsidRDefault="004266BD" w:rsidP="007E53C5">
      <w:pPr>
        <w:spacing w:after="0"/>
        <w:jc w:val="center"/>
        <w:rPr>
          <w:rFonts w:ascii="Arial" w:hAnsi="Arial" w:cs="Arial"/>
          <w:sz w:val="24"/>
          <w:szCs w:val="24"/>
          <w:lang w:val="es-MX"/>
        </w:rPr>
      </w:pPr>
      <w:r w:rsidRPr="004266BD">
        <w:rPr>
          <w:rFonts w:ascii="Arial" w:hAnsi="Arial" w:cs="Arial"/>
          <w:sz w:val="24"/>
          <w:szCs w:val="24"/>
          <w:lang w:val="es-MX"/>
        </w:rPr>
        <w:t>PARA DIFUSI</w:t>
      </w:r>
      <w:r w:rsidR="00A31F16">
        <w:rPr>
          <w:rFonts w:ascii="Arial" w:hAnsi="Arial" w:cs="Arial"/>
          <w:sz w:val="24"/>
          <w:szCs w:val="24"/>
          <w:lang w:val="es-MX"/>
        </w:rPr>
        <w:t>Ó</w:t>
      </w:r>
      <w:r w:rsidRPr="004266BD">
        <w:rPr>
          <w:rFonts w:ascii="Arial" w:hAnsi="Arial" w:cs="Arial"/>
          <w:sz w:val="24"/>
          <w:szCs w:val="24"/>
          <w:lang w:val="es-MX"/>
        </w:rPr>
        <w:t>N INMEDIATA</w:t>
      </w:r>
    </w:p>
    <w:p w14:paraId="68C6559A" w14:textId="0B206B0B" w:rsidR="00A31F16" w:rsidRDefault="00C223FD" w:rsidP="007E53C5">
      <w:pPr>
        <w:spacing w:after="0"/>
        <w:jc w:val="center"/>
        <w:rPr>
          <w:rFonts w:ascii="Arial" w:hAnsi="Arial" w:cs="Arial"/>
          <w:sz w:val="24"/>
          <w:szCs w:val="24"/>
          <w:lang w:val="es-MX"/>
        </w:rPr>
      </w:pPr>
      <w:r>
        <w:rPr>
          <w:rFonts w:ascii="Arial" w:hAnsi="Arial" w:cs="Arial"/>
          <w:sz w:val="24"/>
          <w:szCs w:val="24"/>
          <w:lang w:val="es-MX"/>
        </w:rPr>
        <w:t>2</w:t>
      </w:r>
      <w:r w:rsidR="008B2B24">
        <w:rPr>
          <w:rFonts w:ascii="Arial" w:hAnsi="Arial" w:cs="Arial"/>
          <w:sz w:val="24"/>
          <w:szCs w:val="24"/>
          <w:lang w:val="es-MX"/>
        </w:rPr>
        <w:t>6</w:t>
      </w:r>
      <w:r w:rsidR="00A31F16">
        <w:rPr>
          <w:rFonts w:ascii="Arial" w:hAnsi="Arial" w:cs="Arial"/>
          <w:sz w:val="24"/>
          <w:szCs w:val="24"/>
          <w:lang w:val="es-MX"/>
        </w:rPr>
        <w:t xml:space="preserve"> de </w:t>
      </w:r>
      <w:r w:rsidR="008B2B24">
        <w:rPr>
          <w:rFonts w:ascii="Arial" w:hAnsi="Arial" w:cs="Arial"/>
          <w:sz w:val="24"/>
          <w:szCs w:val="24"/>
          <w:lang w:val="es-MX"/>
        </w:rPr>
        <w:t>febrero</w:t>
      </w:r>
      <w:r w:rsidR="00A31F16">
        <w:rPr>
          <w:rFonts w:ascii="Arial" w:hAnsi="Arial" w:cs="Arial"/>
          <w:sz w:val="24"/>
          <w:szCs w:val="24"/>
          <w:lang w:val="es-MX"/>
        </w:rPr>
        <w:t xml:space="preserve"> de 202</w:t>
      </w:r>
      <w:r w:rsidR="008B2B24">
        <w:rPr>
          <w:rFonts w:ascii="Arial" w:hAnsi="Arial" w:cs="Arial"/>
          <w:sz w:val="24"/>
          <w:szCs w:val="24"/>
          <w:lang w:val="es-MX"/>
        </w:rPr>
        <w:t>6</w:t>
      </w:r>
    </w:p>
    <w:p w14:paraId="1BCEF380" w14:textId="77777777" w:rsidR="00A31F16" w:rsidRPr="00A31F16" w:rsidRDefault="00A31F16" w:rsidP="00A31F16">
      <w:pPr>
        <w:jc w:val="center"/>
        <w:rPr>
          <w:rFonts w:ascii="Arial" w:hAnsi="Arial" w:cs="Arial"/>
          <w:sz w:val="24"/>
          <w:szCs w:val="24"/>
          <w:lang w:val="es-MX"/>
        </w:rPr>
      </w:pPr>
    </w:p>
    <w:p w14:paraId="0D657E34" w14:textId="5C2837AB" w:rsidR="0011218B" w:rsidRDefault="00AA1CB0" w:rsidP="0064034B">
      <w:pPr>
        <w:spacing w:after="0"/>
        <w:jc w:val="center"/>
        <w:rPr>
          <w:rFonts w:ascii="Arial" w:hAnsi="Arial" w:cs="Arial"/>
          <w:b/>
          <w:sz w:val="40"/>
          <w:szCs w:val="40"/>
          <w:lang w:val="es-MX"/>
        </w:rPr>
      </w:pPr>
      <w:r w:rsidRPr="00AA1CB0">
        <w:rPr>
          <w:rFonts w:ascii="Arial" w:hAnsi="Arial" w:cs="Arial"/>
          <w:b/>
          <w:sz w:val="40"/>
          <w:szCs w:val="40"/>
          <w:lang w:val="es-MX"/>
        </w:rPr>
        <w:t xml:space="preserve">A medida que expiran los subsidios federales mejorados, </w:t>
      </w:r>
      <w:proofErr w:type="spellStart"/>
      <w:r w:rsidRPr="00AA1CB0">
        <w:rPr>
          <w:rFonts w:ascii="Arial" w:hAnsi="Arial" w:cs="Arial"/>
          <w:b/>
          <w:sz w:val="40"/>
          <w:szCs w:val="40"/>
          <w:lang w:val="es-MX"/>
        </w:rPr>
        <w:t>Covered</w:t>
      </w:r>
      <w:proofErr w:type="spellEnd"/>
      <w:r w:rsidRPr="00AA1CB0">
        <w:rPr>
          <w:rFonts w:ascii="Arial" w:hAnsi="Arial" w:cs="Arial"/>
          <w:b/>
          <w:sz w:val="40"/>
          <w:szCs w:val="40"/>
          <w:lang w:val="es-MX"/>
        </w:rPr>
        <w:t xml:space="preserve"> California finaliza la inscripción abierta con subsidios estatales que mantienen las renovaciones estables, por ahora, y las nuevas inscripciones bajas.</w:t>
      </w:r>
    </w:p>
    <w:p w14:paraId="6D791AAD" w14:textId="77777777" w:rsidR="00AA1CB0" w:rsidRDefault="00AA1CB0" w:rsidP="0064034B">
      <w:pPr>
        <w:spacing w:after="0"/>
        <w:jc w:val="center"/>
        <w:rPr>
          <w:rFonts w:ascii="Arial" w:hAnsi="Arial" w:cs="Arial"/>
          <w:b/>
          <w:sz w:val="40"/>
          <w:szCs w:val="40"/>
          <w:lang w:val="es-MX"/>
        </w:rPr>
      </w:pPr>
    </w:p>
    <w:p w14:paraId="4E4F5E2E" w14:textId="278DEB41" w:rsidR="00C867B1" w:rsidRDefault="0025646C" w:rsidP="00B77249">
      <w:pPr>
        <w:spacing w:after="0"/>
        <w:rPr>
          <w:rFonts w:ascii="Arial" w:hAnsi="Arial" w:cs="Arial"/>
          <w:sz w:val="24"/>
          <w:szCs w:val="24"/>
          <w:lang w:val="es-MX"/>
        </w:rPr>
      </w:pPr>
      <w:r w:rsidRPr="00887328">
        <w:rPr>
          <w:rFonts w:ascii="Arial" w:hAnsi="Arial" w:cs="Arial"/>
          <w:sz w:val="24"/>
          <w:szCs w:val="24"/>
          <w:lang w:val="es-MX"/>
        </w:rPr>
        <w:t>SACRAMENTO</w:t>
      </w:r>
      <w:r w:rsidR="007E53C5" w:rsidRPr="00887328">
        <w:rPr>
          <w:rFonts w:ascii="Arial" w:hAnsi="Arial" w:cs="Arial"/>
          <w:sz w:val="24"/>
          <w:szCs w:val="24"/>
          <w:lang w:val="es-MX"/>
        </w:rPr>
        <w:t xml:space="preserve">, Calif. — </w:t>
      </w:r>
      <w:proofErr w:type="spellStart"/>
      <w:r w:rsidR="008532F6" w:rsidRPr="008532F6">
        <w:rPr>
          <w:rFonts w:ascii="Arial" w:hAnsi="Arial" w:cs="Arial"/>
          <w:sz w:val="24"/>
          <w:szCs w:val="24"/>
          <w:lang w:val="es-MX"/>
        </w:rPr>
        <w:t>Covered</w:t>
      </w:r>
      <w:proofErr w:type="spellEnd"/>
      <w:r w:rsidR="008532F6" w:rsidRPr="008532F6">
        <w:rPr>
          <w:rFonts w:ascii="Arial" w:hAnsi="Arial" w:cs="Arial"/>
          <w:sz w:val="24"/>
          <w:szCs w:val="24"/>
          <w:lang w:val="es-MX"/>
        </w:rPr>
        <w:t xml:space="preserve"> California anunció que, si bien expiraron los créditos fiscales federales que han ayudado a millones de estadounidenses a costear el seguro </w:t>
      </w:r>
      <w:r w:rsidR="00B22246">
        <w:rPr>
          <w:rFonts w:ascii="Arial" w:hAnsi="Arial" w:cs="Arial"/>
          <w:sz w:val="24"/>
          <w:szCs w:val="24"/>
          <w:lang w:val="es-MX"/>
        </w:rPr>
        <w:t>de salud</w:t>
      </w:r>
      <w:r w:rsidR="008532F6" w:rsidRPr="008532F6">
        <w:rPr>
          <w:rFonts w:ascii="Arial" w:hAnsi="Arial" w:cs="Arial"/>
          <w:sz w:val="24"/>
          <w:szCs w:val="24"/>
          <w:lang w:val="es-MX"/>
        </w:rPr>
        <w:t>, más de 1</w:t>
      </w:r>
      <w:r w:rsidR="00B22246">
        <w:rPr>
          <w:rFonts w:ascii="Arial" w:hAnsi="Arial" w:cs="Arial"/>
          <w:sz w:val="24"/>
          <w:szCs w:val="24"/>
          <w:lang w:val="es-MX"/>
        </w:rPr>
        <w:t>.</w:t>
      </w:r>
      <w:r w:rsidR="008532F6" w:rsidRPr="008532F6">
        <w:rPr>
          <w:rFonts w:ascii="Arial" w:hAnsi="Arial" w:cs="Arial"/>
          <w:sz w:val="24"/>
          <w:szCs w:val="24"/>
          <w:lang w:val="es-MX"/>
        </w:rPr>
        <w:t>9 millones de californianos se inscribieron o renovaron su cobertura durante el período de inscripción abierta de 2026.</w:t>
      </w:r>
    </w:p>
    <w:p w14:paraId="75DA9B1F" w14:textId="77777777" w:rsidR="00B22246" w:rsidRDefault="00B22246" w:rsidP="00B77249">
      <w:pPr>
        <w:spacing w:after="0"/>
        <w:rPr>
          <w:rFonts w:ascii="Arial" w:hAnsi="Arial" w:cs="Arial"/>
          <w:sz w:val="24"/>
          <w:szCs w:val="24"/>
          <w:lang w:val="es-MX"/>
        </w:rPr>
      </w:pPr>
    </w:p>
    <w:p w14:paraId="1F801D58" w14:textId="1812C740" w:rsidR="00B22246" w:rsidRDefault="00B22246" w:rsidP="00B77249">
      <w:pPr>
        <w:spacing w:after="0"/>
        <w:rPr>
          <w:rFonts w:ascii="Arial" w:hAnsi="Arial" w:cs="Arial"/>
          <w:sz w:val="24"/>
          <w:szCs w:val="24"/>
          <w:lang w:val="es-MX"/>
        </w:rPr>
      </w:pPr>
      <w:r w:rsidRPr="00B22246">
        <w:rPr>
          <w:rFonts w:ascii="Arial" w:hAnsi="Arial" w:cs="Arial"/>
          <w:sz w:val="24"/>
          <w:szCs w:val="24"/>
          <w:lang w:val="es-MX"/>
        </w:rPr>
        <w:t xml:space="preserve">Este año, 235,055 californianos eligieron un plan de salud para 2026 y un récord de casi 1.7 millones de californianos renovaron su seguro </w:t>
      </w:r>
      <w:r w:rsidR="000D2E2A">
        <w:rPr>
          <w:rFonts w:ascii="Arial" w:hAnsi="Arial" w:cs="Arial"/>
          <w:sz w:val="24"/>
          <w:szCs w:val="24"/>
          <w:lang w:val="es-MX"/>
        </w:rPr>
        <w:t>de salud</w:t>
      </w:r>
      <w:r w:rsidRPr="00B22246">
        <w:rPr>
          <w:rFonts w:ascii="Arial" w:hAnsi="Arial" w:cs="Arial"/>
          <w:sz w:val="24"/>
          <w:szCs w:val="24"/>
          <w:lang w:val="es-MX"/>
        </w:rPr>
        <w:t xml:space="preserve">, lo que elevó la inscripción general de </w:t>
      </w:r>
      <w:proofErr w:type="spellStart"/>
      <w:r w:rsidRPr="00B22246">
        <w:rPr>
          <w:rFonts w:ascii="Arial" w:hAnsi="Arial" w:cs="Arial"/>
          <w:sz w:val="24"/>
          <w:szCs w:val="24"/>
          <w:lang w:val="es-MX"/>
        </w:rPr>
        <w:t>Covered</w:t>
      </w:r>
      <w:proofErr w:type="spellEnd"/>
      <w:r w:rsidRPr="00B22246">
        <w:rPr>
          <w:rFonts w:ascii="Arial" w:hAnsi="Arial" w:cs="Arial"/>
          <w:sz w:val="24"/>
          <w:szCs w:val="24"/>
          <w:lang w:val="es-MX"/>
        </w:rPr>
        <w:t xml:space="preserve"> California a un récord cercano a 1,927,371 consumidores. Esto incluye a 389,590 californianos que se inscribieron en una cobertura con subsidios del estado de California que ayudan a pagarla. En promedio, estos consumidores recibirán $45 al mes en </w:t>
      </w:r>
      <w:r w:rsidR="00366A9F">
        <w:rPr>
          <w:rFonts w:ascii="Arial" w:hAnsi="Arial" w:cs="Arial"/>
          <w:sz w:val="24"/>
          <w:szCs w:val="24"/>
          <w:lang w:val="es-MX"/>
        </w:rPr>
        <w:t>ayuda financiera</w:t>
      </w:r>
      <w:r w:rsidRPr="00B22246">
        <w:rPr>
          <w:rFonts w:ascii="Arial" w:hAnsi="Arial" w:cs="Arial"/>
          <w:sz w:val="24"/>
          <w:szCs w:val="24"/>
          <w:lang w:val="es-MX"/>
        </w:rPr>
        <w:t xml:space="preserve"> en 2026.</w:t>
      </w:r>
    </w:p>
    <w:p w14:paraId="61EE9C68" w14:textId="77777777" w:rsidR="00F46A32" w:rsidRDefault="00F46A32" w:rsidP="00B77249">
      <w:pPr>
        <w:spacing w:after="0"/>
        <w:rPr>
          <w:rFonts w:ascii="Arial" w:hAnsi="Arial" w:cs="Arial"/>
          <w:sz w:val="24"/>
          <w:szCs w:val="24"/>
          <w:lang w:val="es-MX"/>
        </w:rPr>
      </w:pPr>
    </w:p>
    <w:p w14:paraId="23BE77A7" w14:textId="4D7EC596" w:rsidR="00F46A32" w:rsidRDefault="00F46A32" w:rsidP="00B77249">
      <w:pPr>
        <w:spacing w:after="0"/>
        <w:rPr>
          <w:rFonts w:ascii="Arial" w:hAnsi="Arial" w:cs="Arial"/>
          <w:sz w:val="24"/>
          <w:szCs w:val="24"/>
          <w:lang w:val="es-MX"/>
        </w:rPr>
      </w:pPr>
      <w:r w:rsidRPr="00F46A32">
        <w:rPr>
          <w:rFonts w:ascii="Arial" w:hAnsi="Arial" w:cs="Arial"/>
          <w:sz w:val="24"/>
          <w:szCs w:val="24"/>
          <w:lang w:val="es-MX"/>
        </w:rPr>
        <w:t xml:space="preserve">Si bien el número de renovaciones es alto debido a los niveles históricos de inscripción en 2025, los subsidios estatales de California demostraron que la asequibilidad marca la diferencia fundamental. Para los consumidores de bajos ingresos que son elegibles para subsidios estatales que igualan la ayuda financiera federal mejorada que ha expirado, las tasas de renovación se mantienen estables con respecto al año pasado. Por otro lado, para los consumidores de ingresos medios que perdieron todos los créditos fiscales </w:t>
      </w:r>
      <w:r w:rsidR="00846572">
        <w:rPr>
          <w:rFonts w:ascii="Arial" w:hAnsi="Arial" w:cs="Arial"/>
          <w:sz w:val="24"/>
          <w:szCs w:val="24"/>
          <w:lang w:val="es-MX"/>
        </w:rPr>
        <w:t>premium mejorados</w:t>
      </w:r>
      <w:r w:rsidRPr="00F46A32">
        <w:rPr>
          <w:rFonts w:ascii="Arial" w:hAnsi="Arial" w:cs="Arial"/>
          <w:sz w:val="24"/>
          <w:szCs w:val="24"/>
          <w:lang w:val="es-MX"/>
        </w:rPr>
        <w:t>, la tasa de cancelación de renovaciones hasta la fecha ha sido del 22</w:t>
      </w:r>
      <w:r w:rsidR="007754D1">
        <w:rPr>
          <w:rFonts w:ascii="Arial" w:hAnsi="Arial" w:cs="Arial"/>
          <w:sz w:val="24"/>
          <w:szCs w:val="24"/>
          <w:lang w:val="es-MX"/>
        </w:rPr>
        <w:t xml:space="preserve"> por ciento</w:t>
      </w:r>
      <w:r w:rsidRPr="00F46A32">
        <w:rPr>
          <w:rFonts w:ascii="Arial" w:hAnsi="Arial" w:cs="Arial"/>
          <w:sz w:val="24"/>
          <w:szCs w:val="24"/>
          <w:lang w:val="es-MX"/>
        </w:rPr>
        <w:t>, el doble del 11</w:t>
      </w:r>
      <w:r w:rsidR="007754D1">
        <w:rPr>
          <w:rFonts w:ascii="Arial" w:hAnsi="Arial" w:cs="Arial"/>
          <w:sz w:val="24"/>
          <w:szCs w:val="24"/>
          <w:lang w:val="es-MX"/>
        </w:rPr>
        <w:t xml:space="preserve"> por ciento</w:t>
      </w:r>
      <w:r w:rsidRPr="00F46A32">
        <w:rPr>
          <w:rFonts w:ascii="Arial" w:hAnsi="Arial" w:cs="Arial"/>
          <w:sz w:val="24"/>
          <w:szCs w:val="24"/>
          <w:lang w:val="es-MX"/>
        </w:rPr>
        <w:t xml:space="preserve"> registrado el año pasado.</w:t>
      </w:r>
    </w:p>
    <w:p w14:paraId="23795137" w14:textId="77777777" w:rsidR="0010098B" w:rsidRDefault="0010098B" w:rsidP="00B77249">
      <w:pPr>
        <w:spacing w:after="0"/>
        <w:rPr>
          <w:rFonts w:ascii="Arial" w:hAnsi="Arial" w:cs="Arial"/>
          <w:sz w:val="24"/>
          <w:szCs w:val="24"/>
          <w:lang w:val="es-MX"/>
        </w:rPr>
      </w:pPr>
    </w:p>
    <w:p w14:paraId="6B7E72C8" w14:textId="77777777" w:rsidR="0010098B" w:rsidRDefault="0010098B" w:rsidP="00B77249">
      <w:pPr>
        <w:spacing w:after="0"/>
        <w:rPr>
          <w:rFonts w:ascii="Arial" w:hAnsi="Arial" w:cs="Arial"/>
          <w:sz w:val="24"/>
          <w:szCs w:val="24"/>
          <w:lang w:val="es-MX"/>
        </w:rPr>
      </w:pPr>
    </w:p>
    <w:p w14:paraId="24EC8172" w14:textId="77777777" w:rsidR="0010098B" w:rsidRDefault="0010098B" w:rsidP="00B77249">
      <w:pPr>
        <w:spacing w:after="0"/>
        <w:rPr>
          <w:rFonts w:ascii="Arial" w:hAnsi="Arial" w:cs="Arial"/>
          <w:sz w:val="24"/>
          <w:szCs w:val="24"/>
          <w:lang w:val="es-MX"/>
        </w:rPr>
      </w:pPr>
    </w:p>
    <w:p w14:paraId="3A485A5C" w14:textId="7C4C3642" w:rsidR="0010098B" w:rsidRDefault="0010098B" w:rsidP="0010098B">
      <w:pPr>
        <w:spacing w:after="0"/>
        <w:jc w:val="center"/>
        <w:rPr>
          <w:rFonts w:ascii="Arial" w:hAnsi="Arial" w:cs="Arial"/>
          <w:sz w:val="24"/>
          <w:szCs w:val="24"/>
          <w:lang w:val="es-MX"/>
        </w:rPr>
      </w:pPr>
      <w:r>
        <w:rPr>
          <w:rFonts w:ascii="Arial" w:hAnsi="Arial" w:cs="Arial"/>
          <w:sz w:val="24"/>
          <w:szCs w:val="24"/>
          <w:lang w:val="es-MX"/>
        </w:rPr>
        <w:t>(más)</w:t>
      </w:r>
    </w:p>
    <w:p w14:paraId="2A5BFF3A" w14:textId="77777777" w:rsidR="00767A77" w:rsidRDefault="00767A77" w:rsidP="0010098B">
      <w:pPr>
        <w:spacing w:after="0"/>
        <w:jc w:val="center"/>
        <w:rPr>
          <w:rFonts w:ascii="Arial" w:hAnsi="Arial" w:cs="Arial"/>
          <w:sz w:val="24"/>
          <w:szCs w:val="24"/>
          <w:lang w:val="es-MX"/>
        </w:rPr>
      </w:pPr>
    </w:p>
    <w:p w14:paraId="0DBBD1D8" w14:textId="77777777" w:rsidR="00767A77" w:rsidRDefault="00767A77" w:rsidP="0010098B">
      <w:pPr>
        <w:spacing w:after="0"/>
        <w:jc w:val="center"/>
        <w:rPr>
          <w:rFonts w:ascii="Arial" w:hAnsi="Arial" w:cs="Arial"/>
          <w:sz w:val="24"/>
          <w:szCs w:val="24"/>
          <w:lang w:val="es-MX"/>
        </w:rPr>
      </w:pPr>
    </w:p>
    <w:p w14:paraId="4A73D441" w14:textId="7C24257A" w:rsidR="00856761" w:rsidRDefault="00767A77" w:rsidP="0010098B">
      <w:pPr>
        <w:spacing w:after="0"/>
        <w:rPr>
          <w:rFonts w:ascii="Arial" w:hAnsi="Arial" w:cs="Arial"/>
          <w:sz w:val="24"/>
          <w:szCs w:val="24"/>
          <w:lang w:val="es-MX"/>
        </w:rPr>
      </w:pPr>
      <w:r w:rsidRPr="00767A77">
        <w:rPr>
          <w:rFonts w:ascii="Arial" w:hAnsi="Arial" w:cs="Arial"/>
          <w:sz w:val="24"/>
          <w:szCs w:val="24"/>
          <w:lang w:val="es-MX"/>
        </w:rPr>
        <w:lastRenderedPageBreak/>
        <w:t xml:space="preserve">“A pesar de los continuos ataques de Donald Trump y los republicanos al acceso y la asequibilidad de la atención médica, los californianos demostraron una vez más lo valioso que es para ellos el seguro </w:t>
      </w:r>
      <w:r w:rsidR="004C4527">
        <w:rPr>
          <w:rFonts w:ascii="Arial" w:hAnsi="Arial" w:cs="Arial"/>
          <w:sz w:val="24"/>
          <w:szCs w:val="24"/>
          <w:lang w:val="es-MX"/>
        </w:rPr>
        <w:t>de salud</w:t>
      </w:r>
      <w:r w:rsidRPr="00767A77">
        <w:rPr>
          <w:rFonts w:ascii="Arial" w:hAnsi="Arial" w:cs="Arial"/>
          <w:sz w:val="24"/>
          <w:szCs w:val="24"/>
          <w:lang w:val="es-MX"/>
        </w:rPr>
        <w:t xml:space="preserve"> al inscribirse en una cobertura de alta calidad a través de </w:t>
      </w:r>
      <w:proofErr w:type="spellStart"/>
      <w:r w:rsidRPr="00767A77">
        <w:rPr>
          <w:rFonts w:ascii="Arial" w:hAnsi="Arial" w:cs="Arial"/>
          <w:sz w:val="24"/>
          <w:szCs w:val="24"/>
          <w:lang w:val="es-MX"/>
        </w:rPr>
        <w:t>Covered</w:t>
      </w:r>
      <w:proofErr w:type="spellEnd"/>
      <w:r w:rsidRPr="00767A77">
        <w:rPr>
          <w:rFonts w:ascii="Arial" w:hAnsi="Arial" w:cs="Arial"/>
          <w:sz w:val="24"/>
          <w:szCs w:val="24"/>
          <w:lang w:val="es-MX"/>
        </w:rPr>
        <w:t xml:space="preserve"> California”, declaró el gobernador Gavin Newsom. “</w:t>
      </w:r>
      <w:proofErr w:type="spellStart"/>
      <w:r w:rsidRPr="00767A77">
        <w:rPr>
          <w:rFonts w:ascii="Arial" w:hAnsi="Arial" w:cs="Arial"/>
          <w:sz w:val="24"/>
          <w:szCs w:val="24"/>
          <w:lang w:val="es-MX"/>
        </w:rPr>
        <w:t>Covered</w:t>
      </w:r>
      <w:proofErr w:type="spellEnd"/>
      <w:r w:rsidRPr="00767A77">
        <w:rPr>
          <w:rFonts w:ascii="Arial" w:hAnsi="Arial" w:cs="Arial"/>
          <w:sz w:val="24"/>
          <w:szCs w:val="24"/>
          <w:lang w:val="es-MX"/>
        </w:rPr>
        <w:t xml:space="preserve"> California sigue siendo un salvavidas para los californianos de clase trabajadora. Me enorgullece que el estado haya podido intensificar sus esfuerzos y brindar asistencia a quienes más la necesitan para que puedan mantener el acceso a un seguro </w:t>
      </w:r>
      <w:r w:rsidR="004C4527">
        <w:rPr>
          <w:rFonts w:ascii="Arial" w:hAnsi="Arial" w:cs="Arial"/>
          <w:sz w:val="24"/>
          <w:szCs w:val="24"/>
          <w:lang w:val="es-MX"/>
        </w:rPr>
        <w:t>de salud</w:t>
      </w:r>
      <w:r w:rsidRPr="00767A77">
        <w:rPr>
          <w:rFonts w:ascii="Arial" w:hAnsi="Arial" w:cs="Arial"/>
          <w:sz w:val="24"/>
          <w:szCs w:val="24"/>
          <w:lang w:val="es-MX"/>
        </w:rPr>
        <w:t xml:space="preserve"> esencial que los protege a ellos y a sus familias”.</w:t>
      </w:r>
    </w:p>
    <w:p w14:paraId="5D6A1538" w14:textId="77777777" w:rsidR="004C4527" w:rsidRDefault="004C4527" w:rsidP="0010098B">
      <w:pPr>
        <w:spacing w:after="0"/>
        <w:rPr>
          <w:rFonts w:ascii="Arial" w:hAnsi="Arial" w:cs="Arial"/>
          <w:sz w:val="24"/>
          <w:szCs w:val="24"/>
          <w:lang w:val="es-MX"/>
        </w:rPr>
      </w:pPr>
    </w:p>
    <w:p w14:paraId="7D0DDA99" w14:textId="2F24157F" w:rsidR="0010098B" w:rsidRDefault="00A84BAA" w:rsidP="0010098B">
      <w:pPr>
        <w:spacing w:after="0"/>
        <w:rPr>
          <w:rFonts w:ascii="Arial" w:hAnsi="Arial" w:cs="Arial"/>
          <w:sz w:val="24"/>
          <w:szCs w:val="24"/>
          <w:lang w:val="es-MX"/>
        </w:rPr>
      </w:pPr>
      <w:r w:rsidRPr="00A84BAA">
        <w:rPr>
          <w:rFonts w:ascii="Arial" w:hAnsi="Arial" w:cs="Arial"/>
          <w:sz w:val="24"/>
          <w:szCs w:val="24"/>
          <w:lang w:val="es-MX"/>
        </w:rPr>
        <w:t>California asignó $190 millones del Fondo de Reserva para la Accesibilidad de la Atención Médica (HCARF</w:t>
      </w:r>
      <w:r>
        <w:rPr>
          <w:rFonts w:ascii="Arial" w:hAnsi="Arial" w:cs="Arial"/>
          <w:sz w:val="24"/>
          <w:szCs w:val="24"/>
          <w:lang w:val="es-MX"/>
        </w:rPr>
        <w:t>, por sus siglas en inglés</w:t>
      </w:r>
      <w:r w:rsidRPr="00A84BAA">
        <w:rPr>
          <w:rFonts w:ascii="Arial" w:hAnsi="Arial" w:cs="Arial"/>
          <w:sz w:val="24"/>
          <w:szCs w:val="24"/>
          <w:lang w:val="es-MX"/>
        </w:rPr>
        <w:t>) en 2026 para otorgar créditos fiscales estatales a personas con ingresos de hasta el 165</w:t>
      </w:r>
      <w:r w:rsidR="007754D1">
        <w:rPr>
          <w:rFonts w:ascii="Arial" w:hAnsi="Arial" w:cs="Arial"/>
          <w:sz w:val="24"/>
          <w:szCs w:val="24"/>
          <w:lang w:val="es-MX"/>
        </w:rPr>
        <w:t xml:space="preserve"> por ciento</w:t>
      </w:r>
      <w:r w:rsidRPr="00A84BAA">
        <w:rPr>
          <w:rFonts w:ascii="Arial" w:hAnsi="Arial" w:cs="Arial"/>
          <w:sz w:val="24"/>
          <w:szCs w:val="24"/>
          <w:lang w:val="es-MX"/>
        </w:rPr>
        <w:t xml:space="preserve"> del nivel federal de pobreza. Este apoyo ayudará a mantener l</w:t>
      </w:r>
      <w:r w:rsidR="00AF5CBD">
        <w:rPr>
          <w:rFonts w:ascii="Arial" w:hAnsi="Arial" w:cs="Arial"/>
          <w:sz w:val="24"/>
          <w:szCs w:val="24"/>
          <w:lang w:val="es-MX"/>
        </w:rPr>
        <w:t xml:space="preserve">os pagos </w:t>
      </w:r>
      <w:r w:rsidRPr="00A84BAA">
        <w:rPr>
          <w:rFonts w:ascii="Arial" w:hAnsi="Arial" w:cs="Arial"/>
          <w:sz w:val="24"/>
          <w:szCs w:val="24"/>
          <w:lang w:val="es-MX"/>
        </w:rPr>
        <w:t xml:space="preserve">mensuales en niveles similares a los de 2025 para quienes tengan ingresos anuales de hasta $23,475 por persona o $48,225 por </w:t>
      </w:r>
      <w:r w:rsidR="00AF5CBD">
        <w:rPr>
          <w:rFonts w:ascii="Arial" w:hAnsi="Arial" w:cs="Arial"/>
          <w:sz w:val="24"/>
          <w:szCs w:val="24"/>
          <w:lang w:val="es-MX"/>
        </w:rPr>
        <w:t xml:space="preserve">una </w:t>
      </w:r>
      <w:r w:rsidRPr="00A84BAA">
        <w:rPr>
          <w:rFonts w:ascii="Arial" w:hAnsi="Arial" w:cs="Arial"/>
          <w:sz w:val="24"/>
          <w:szCs w:val="24"/>
          <w:lang w:val="es-MX"/>
        </w:rPr>
        <w:t>familia de cuatro.</w:t>
      </w:r>
    </w:p>
    <w:p w14:paraId="202A0474" w14:textId="77777777" w:rsidR="00F51571" w:rsidRDefault="00F51571" w:rsidP="0010098B">
      <w:pPr>
        <w:spacing w:after="0"/>
        <w:rPr>
          <w:rFonts w:ascii="Arial" w:hAnsi="Arial" w:cs="Arial"/>
          <w:sz w:val="24"/>
          <w:szCs w:val="24"/>
          <w:lang w:val="es-MX"/>
        </w:rPr>
      </w:pPr>
    </w:p>
    <w:p w14:paraId="2F211890" w14:textId="6661A6F3" w:rsidR="00F51571" w:rsidRPr="00856761" w:rsidRDefault="00F51571" w:rsidP="0010098B">
      <w:pPr>
        <w:spacing w:after="0"/>
        <w:rPr>
          <w:rFonts w:ascii="Arial" w:hAnsi="Arial" w:cs="Arial"/>
          <w:b/>
          <w:bCs/>
          <w:sz w:val="24"/>
          <w:szCs w:val="24"/>
          <w:lang w:val="es-MX"/>
        </w:rPr>
      </w:pPr>
      <w:r w:rsidRPr="00856761">
        <w:rPr>
          <w:rFonts w:ascii="Arial" w:hAnsi="Arial" w:cs="Arial"/>
          <w:b/>
          <w:bCs/>
          <w:sz w:val="24"/>
          <w:szCs w:val="24"/>
          <w:lang w:val="es-MX"/>
        </w:rPr>
        <w:t xml:space="preserve">Tabla 1: Selecciones de planes de </w:t>
      </w:r>
      <w:proofErr w:type="spellStart"/>
      <w:r w:rsidRPr="00856761">
        <w:rPr>
          <w:rFonts w:ascii="Arial" w:hAnsi="Arial" w:cs="Arial"/>
          <w:b/>
          <w:bCs/>
          <w:sz w:val="24"/>
          <w:szCs w:val="24"/>
          <w:lang w:val="es-MX"/>
        </w:rPr>
        <w:t>Covered</w:t>
      </w:r>
      <w:proofErr w:type="spellEnd"/>
      <w:r w:rsidRPr="00856761">
        <w:rPr>
          <w:rFonts w:ascii="Arial" w:hAnsi="Arial" w:cs="Arial"/>
          <w:b/>
          <w:bCs/>
          <w:sz w:val="24"/>
          <w:szCs w:val="24"/>
          <w:lang w:val="es-MX"/>
        </w:rPr>
        <w:t xml:space="preserve"> California al final de la inscripción abierta</w:t>
      </w:r>
    </w:p>
    <w:p w14:paraId="3BBAF710" w14:textId="77777777" w:rsidR="0010098B" w:rsidRDefault="0010098B" w:rsidP="00B77249">
      <w:pPr>
        <w:spacing w:after="0"/>
        <w:rPr>
          <w:rFonts w:ascii="Arial" w:hAnsi="Arial" w:cs="Arial"/>
          <w:sz w:val="24"/>
          <w:szCs w:val="24"/>
          <w:lang w:val="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1485"/>
        <w:gridCol w:w="1485"/>
        <w:gridCol w:w="1485"/>
        <w:gridCol w:w="1485"/>
        <w:gridCol w:w="1485"/>
      </w:tblGrid>
      <w:tr w:rsidR="00F51571" w:rsidRPr="00F51571" w14:paraId="130331FB" w14:textId="77777777">
        <w:trPr>
          <w:trHeight w:val="420"/>
        </w:trPr>
        <w:tc>
          <w:tcPr>
            <w:tcW w:w="1890" w:type="dxa"/>
            <w:tcBorders>
              <w:top w:val="nil"/>
              <w:left w:val="nil"/>
              <w:bottom w:val="nil"/>
              <w:right w:val="nil"/>
            </w:tcBorders>
            <w:shd w:val="clear" w:color="auto" w:fill="00727B"/>
            <w:vAlign w:val="center"/>
            <w:hideMark/>
          </w:tcPr>
          <w:p w14:paraId="043BFA19" w14:textId="07141FBD" w:rsidR="00F51571" w:rsidRPr="00F51571" w:rsidRDefault="00F51571" w:rsidP="00370F9C">
            <w:pPr>
              <w:spacing w:after="0"/>
              <w:jc w:val="center"/>
              <w:rPr>
                <w:rFonts w:ascii="Arial" w:hAnsi="Arial" w:cs="Arial"/>
                <w:color w:val="FFFFFF" w:themeColor="background1"/>
                <w:sz w:val="24"/>
                <w:szCs w:val="24"/>
              </w:rPr>
            </w:pPr>
            <w:r w:rsidRPr="00F51571">
              <w:rPr>
                <w:rFonts w:ascii="Arial" w:hAnsi="Arial" w:cs="Arial"/>
                <w:b/>
                <w:bCs/>
                <w:color w:val="FFFFFF" w:themeColor="background1"/>
                <w:sz w:val="24"/>
                <w:szCs w:val="24"/>
              </w:rPr>
              <w:t>Net Plan Selection</w:t>
            </w:r>
          </w:p>
        </w:tc>
        <w:tc>
          <w:tcPr>
            <w:tcW w:w="1485" w:type="dxa"/>
            <w:tcBorders>
              <w:top w:val="nil"/>
              <w:left w:val="nil"/>
              <w:bottom w:val="nil"/>
              <w:right w:val="nil"/>
            </w:tcBorders>
            <w:shd w:val="clear" w:color="auto" w:fill="00727B"/>
            <w:vAlign w:val="center"/>
            <w:hideMark/>
          </w:tcPr>
          <w:p w14:paraId="0BF64443" w14:textId="2A125174" w:rsidR="00F51571" w:rsidRPr="00F51571" w:rsidRDefault="00F51571" w:rsidP="00370F9C">
            <w:pPr>
              <w:spacing w:after="0"/>
              <w:jc w:val="center"/>
              <w:rPr>
                <w:rFonts w:ascii="Arial" w:hAnsi="Arial" w:cs="Arial"/>
                <w:color w:val="FFFFFF" w:themeColor="background1"/>
                <w:sz w:val="24"/>
                <w:szCs w:val="24"/>
              </w:rPr>
            </w:pPr>
            <w:r w:rsidRPr="00F51571">
              <w:rPr>
                <w:rFonts w:ascii="Arial" w:hAnsi="Arial" w:cs="Arial"/>
                <w:b/>
                <w:bCs/>
                <w:color w:val="FFFFFF" w:themeColor="background1"/>
                <w:sz w:val="24"/>
                <w:szCs w:val="24"/>
              </w:rPr>
              <w:t>2022</w:t>
            </w:r>
          </w:p>
        </w:tc>
        <w:tc>
          <w:tcPr>
            <w:tcW w:w="1485" w:type="dxa"/>
            <w:tcBorders>
              <w:top w:val="nil"/>
              <w:left w:val="nil"/>
              <w:bottom w:val="nil"/>
              <w:right w:val="nil"/>
            </w:tcBorders>
            <w:shd w:val="clear" w:color="auto" w:fill="00727B"/>
            <w:vAlign w:val="center"/>
            <w:hideMark/>
          </w:tcPr>
          <w:p w14:paraId="01A57424" w14:textId="1BCBA709" w:rsidR="00F51571" w:rsidRPr="00F51571" w:rsidRDefault="00F51571" w:rsidP="00370F9C">
            <w:pPr>
              <w:spacing w:after="0"/>
              <w:jc w:val="center"/>
              <w:rPr>
                <w:rFonts w:ascii="Arial" w:hAnsi="Arial" w:cs="Arial"/>
                <w:color w:val="FFFFFF" w:themeColor="background1"/>
                <w:sz w:val="24"/>
                <w:szCs w:val="24"/>
              </w:rPr>
            </w:pPr>
            <w:r w:rsidRPr="00F51571">
              <w:rPr>
                <w:rFonts w:ascii="Arial" w:hAnsi="Arial" w:cs="Arial"/>
                <w:b/>
                <w:bCs/>
                <w:color w:val="FFFFFF" w:themeColor="background1"/>
                <w:sz w:val="24"/>
                <w:szCs w:val="24"/>
              </w:rPr>
              <w:t>2023</w:t>
            </w:r>
          </w:p>
        </w:tc>
        <w:tc>
          <w:tcPr>
            <w:tcW w:w="1485" w:type="dxa"/>
            <w:tcBorders>
              <w:top w:val="nil"/>
              <w:left w:val="nil"/>
              <w:bottom w:val="nil"/>
              <w:right w:val="nil"/>
            </w:tcBorders>
            <w:shd w:val="clear" w:color="auto" w:fill="00727B"/>
            <w:vAlign w:val="center"/>
            <w:hideMark/>
          </w:tcPr>
          <w:p w14:paraId="43654C97" w14:textId="6ED3BA37" w:rsidR="00F51571" w:rsidRPr="00F51571" w:rsidRDefault="00F51571" w:rsidP="00370F9C">
            <w:pPr>
              <w:spacing w:after="0"/>
              <w:jc w:val="center"/>
              <w:rPr>
                <w:rFonts w:ascii="Arial" w:hAnsi="Arial" w:cs="Arial"/>
                <w:color w:val="FFFFFF" w:themeColor="background1"/>
                <w:sz w:val="24"/>
                <w:szCs w:val="24"/>
              </w:rPr>
            </w:pPr>
            <w:r w:rsidRPr="00F51571">
              <w:rPr>
                <w:rFonts w:ascii="Arial" w:hAnsi="Arial" w:cs="Arial"/>
                <w:b/>
                <w:bCs/>
                <w:color w:val="FFFFFF" w:themeColor="background1"/>
                <w:sz w:val="24"/>
                <w:szCs w:val="24"/>
              </w:rPr>
              <w:t>2024</w:t>
            </w:r>
          </w:p>
        </w:tc>
        <w:tc>
          <w:tcPr>
            <w:tcW w:w="1485" w:type="dxa"/>
            <w:tcBorders>
              <w:top w:val="nil"/>
              <w:left w:val="nil"/>
              <w:bottom w:val="nil"/>
              <w:right w:val="nil"/>
            </w:tcBorders>
            <w:shd w:val="clear" w:color="auto" w:fill="00727B"/>
            <w:vAlign w:val="center"/>
            <w:hideMark/>
          </w:tcPr>
          <w:p w14:paraId="20380996" w14:textId="4B9BC7CA" w:rsidR="00F51571" w:rsidRPr="00F51571" w:rsidRDefault="00F51571" w:rsidP="00370F9C">
            <w:pPr>
              <w:spacing w:after="0"/>
              <w:jc w:val="center"/>
              <w:rPr>
                <w:rFonts w:ascii="Arial" w:hAnsi="Arial" w:cs="Arial"/>
                <w:color w:val="FFFFFF" w:themeColor="background1"/>
                <w:sz w:val="24"/>
                <w:szCs w:val="24"/>
              </w:rPr>
            </w:pPr>
            <w:r w:rsidRPr="00F51571">
              <w:rPr>
                <w:rFonts w:ascii="Arial" w:hAnsi="Arial" w:cs="Arial"/>
                <w:b/>
                <w:bCs/>
                <w:color w:val="FFFFFF" w:themeColor="background1"/>
                <w:sz w:val="24"/>
                <w:szCs w:val="24"/>
              </w:rPr>
              <w:t>2025</w:t>
            </w:r>
          </w:p>
        </w:tc>
        <w:tc>
          <w:tcPr>
            <w:tcW w:w="1485" w:type="dxa"/>
            <w:tcBorders>
              <w:top w:val="nil"/>
              <w:left w:val="nil"/>
              <w:bottom w:val="nil"/>
              <w:right w:val="nil"/>
            </w:tcBorders>
            <w:shd w:val="clear" w:color="auto" w:fill="00727B"/>
            <w:vAlign w:val="center"/>
            <w:hideMark/>
          </w:tcPr>
          <w:p w14:paraId="20D47E6F" w14:textId="324C7B4F" w:rsidR="00F51571" w:rsidRPr="00F51571" w:rsidRDefault="00F51571" w:rsidP="00370F9C">
            <w:pPr>
              <w:spacing w:after="0"/>
              <w:jc w:val="center"/>
              <w:rPr>
                <w:rFonts w:ascii="Arial" w:hAnsi="Arial" w:cs="Arial"/>
                <w:color w:val="FFFFFF" w:themeColor="background1"/>
                <w:sz w:val="24"/>
                <w:szCs w:val="24"/>
              </w:rPr>
            </w:pPr>
            <w:r w:rsidRPr="00F51571">
              <w:rPr>
                <w:rFonts w:ascii="Arial" w:hAnsi="Arial" w:cs="Arial"/>
                <w:b/>
                <w:bCs/>
                <w:color w:val="FFFFFF" w:themeColor="background1"/>
                <w:sz w:val="24"/>
                <w:szCs w:val="24"/>
              </w:rPr>
              <w:t>2026</w:t>
            </w:r>
          </w:p>
        </w:tc>
      </w:tr>
      <w:tr w:rsidR="00F51571" w:rsidRPr="00F51571" w14:paraId="6B0680D4" w14:textId="77777777">
        <w:trPr>
          <w:trHeight w:val="285"/>
        </w:trPr>
        <w:tc>
          <w:tcPr>
            <w:tcW w:w="1890" w:type="dxa"/>
            <w:tcBorders>
              <w:top w:val="single" w:sz="2" w:space="0" w:color="000000"/>
              <w:left w:val="single" w:sz="2" w:space="0" w:color="000000"/>
              <w:bottom w:val="single" w:sz="2" w:space="0" w:color="000000"/>
              <w:right w:val="single" w:sz="2" w:space="0" w:color="000000"/>
            </w:tcBorders>
            <w:shd w:val="clear" w:color="auto" w:fill="DDF0F1"/>
            <w:vAlign w:val="center"/>
            <w:hideMark/>
          </w:tcPr>
          <w:p w14:paraId="3C9A6683" w14:textId="376B3A52" w:rsidR="00F51571" w:rsidRDefault="00F51571" w:rsidP="00856761">
            <w:pPr>
              <w:spacing w:after="0"/>
              <w:jc w:val="center"/>
              <w:rPr>
                <w:rFonts w:ascii="Arial" w:hAnsi="Arial" w:cs="Arial"/>
                <w:sz w:val="24"/>
                <w:szCs w:val="24"/>
              </w:rPr>
            </w:pPr>
            <w:r w:rsidRPr="00F51571">
              <w:rPr>
                <w:rFonts w:ascii="Arial" w:hAnsi="Arial" w:cs="Arial"/>
                <w:sz w:val="24"/>
                <w:szCs w:val="24"/>
              </w:rPr>
              <w:t>New</w:t>
            </w:r>
          </w:p>
          <w:p w14:paraId="7CA132DC" w14:textId="27A931E2" w:rsidR="00F51571" w:rsidRPr="00F51571" w:rsidRDefault="00F51571" w:rsidP="00856761">
            <w:pPr>
              <w:spacing w:after="0"/>
              <w:jc w:val="center"/>
              <w:rPr>
                <w:rFonts w:ascii="Arial" w:hAnsi="Arial" w:cs="Arial"/>
                <w:sz w:val="24"/>
                <w:szCs w:val="24"/>
              </w:rPr>
            </w:pPr>
            <w:r w:rsidRPr="00F51571">
              <w:rPr>
                <w:rFonts w:ascii="Arial" w:hAnsi="Arial" w:cs="Arial"/>
                <w:sz w:val="24"/>
                <w:szCs w:val="24"/>
              </w:rPr>
              <w:t>Enrollment</w:t>
            </w:r>
          </w:p>
        </w:tc>
        <w:tc>
          <w:tcPr>
            <w:tcW w:w="1485" w:type="dxa"/>
            <w:tcBorders>
              <w:top w:val="single" w:sz="2" w:space="0" w:color="000000"/>
              <w:left w:val="single" w:sz="2" w:space="0" w:color="000000"/>
              <w:bottom w:val="single" w:sz="2" w:space="0" w:color="000000"/>
              <w:right w:val="single" w:sz="2" w:space="0" w:color="000000"/>
            </w:tcBorders>
            <w:shd w:val="clear" w:color="auto" w:fill="DDF0F1"/>
            <w:vAlign w:val="center"/>
            <w:hideMark/>
          </w:tcPr>
          <w:p w14:paraId="4F292977" w14:textId="77777777" w:rsidR="00F51571" w:rsidRPr="00F51571" w:rsidRDefault="00F51571" w:rsidP="00F51571">
            <w:pPr>
              <w:spacing w:after="0"/>
              <w:rPr>
                <w:rFonts w:ascii="Arial" w:hAnsi="Arial" w:cs="Arial"/>
                <w:sz w:val="24"/>
                <w:szCs w:val="24"/>
              </w:rPr>
            </w:pPr>
            <w:r w:rsidRPr="00F51571">
              <w:rPr>
                <w:rFonts w:ascii="Arial" w:hAnsi="Arial" w:cs="Arial"/>
                <w:sz w:val="24"/>
                <w:szCs w:val="24"/>
              </w:rPr>
              <w:t>255,575 </w:t>
            </w:r>
          </w:p>
        </w:tc>
        <w:tc>
          <w:tcPr>
            <w:tcW w:w="1485" w:type="dxa"/>
            <w:tcBorders>
              <w:top w:val="single" w:sz="2" w:space="0" w:color="000000"/>
              <w:left w:val="single" w:sz="2" w:space="0" w:color="000000"/>
              <w:bottom w:val="single" w:sz="2" w:space="0" w:color="000000"/>
              <w:right w:val="single" w:sz="2" w:space="0" w:color="000000"/>
            </w:tcBorders>
            <w:shd w:val="clear" w:color="auto" w:fill="DDF0F1"/>
            <w:vAlign w:val="center"/>
            <w:hideMark/>
          </w:tcPr>
          <w:p w14:paraId="7928AAB2" w14:textId="77777777" w:rsidR="00F51571" w:rsidRPr="00F51571" w:rsidRDefault="00F51571" w:rsidP="00F51571">
            <w:pPr>
              <w:spacing w:after="0"/>
              <w:rPr>
                <w:rFonts w:ascii="Arial" w:hAnsi="Arial" w:cs="Arial"/>
                <w:sz w:val="24"/>
                <w:szCs w:val="24"/>
              </w:rPr>
            </w:pPr>
            <w:r w:rsidRPr="00F51571">
              <w:rPr>
                <w:rFonts w:ascii="Arial" w:hAnsi="Arial" w:cs="Arial"/>
                <w:sz w:val="24"/>
                <w:szCs w:val="24"/>
              </w:rPr>
              <w:t>263,325 </w:t>
            </w:r>
          </w:p>
        </w:tc>
        <w:tc>
          <w:tcPr>
            <w:tcW w:w="1485" w:type="dxa"/>
            <w:tcBorders>
              <w:top w:val="single" w:sz="2" w:space="0" w:color="000000"/>
              <w:left w:val="single" w:sz="2" w:space="0" w:color="000000"/>
              <w:bottom w:val="single" w:sz="2" w:space="0" w:color="000000"/>
              <w:right w:val="single" w:sz="2" w:space="0" w:color="000000"/>
            </w:tcBorders>
            <w:shd w:val="clear" w:color="auto" w:fill="DDF0F1"/>
            <w:vAlign w:val="center"/>
            <w:hideMark/>
          </w:tcPr>
          <w:p w14:paraId="28296128" w14:textId="77777777" w:rsidR="00F51571" w:rsidRPr="00F51571" w:rsidRDefault="00F51571" w:rsidP="00F51571">
            <w:pPr>
              <w:spacing w:after="0"/>
              <w:rPr>
                <w:rFonts w:ascii="Arial" w:hAnsi="Arial" w:cs="Arial"/>
                <w:sz w:val="24"/>
                <w:szCs w:val="24"/>
              </w:rPr>
            </w:pPr>
            <w:r w:rsidRPr="00F51571">
              <w:rPr>
                <w:rFonts w:ascii="Arial" w:hAnsi="Arial" w:cs="Arial"/>
                <w:sz w:val="24"/>
                <w:szCs w:val="24"/>
              </w:rPr>
              <w:t>306,382 </w:t>
            </w:r>
          </w:p>
        </w:tc>
        <w:tc>
          <w:tcPr>
            <w:tcW w:w="1485" w:type="dxa"/>
            <w:tcBorders>
              <w:top w:val="single" w:sz="2" w:space="0" w:color="000000"/>
              <w:left w:val="single" w:sz="2" w:space="0" w:color="000000"/>
              <w:bottom w:val="single" w:sz="2" w:space="0" w:color="000000"/>
              <w:right w:val="single" w:sz="2" w:space="0" w:color="000000"/>
            </w:tcBorders>
            <w:shd w:val="clear" w:color="auto" w:fill="DDF0F1"/>
            <w:vAlign w:val="center"/>
            <w:hideMark/>
          </w:tcPr>
          <w:p w14:paraId="568103FC" w14:textId="77777777" w:rsidR="00F51571" w:rsidRPr="00F51571" w:rsidRDefault="00F51571" w:rsidP="00F51571">
            <w:pPr>
              <w:spacing w:after="0"/>
              <w:rPr>
                <w:rFonts w:ascii="Arial" w:hAnsi="Arial" w:cs="Arial"/>
                <w:sz w:val="24"/>
                <w:szCs w:val="24"/>
              </w:rPr>
            </w:pPr>
            <w:r w:rsidRPr="00F51571">
              <w:rPr>
                <w:rFonts w:ascii="Arial" w:hAnsi="Arial" w:cs="Arial"/>
                <w:sz w:val="24"/>
                <w:szCs w:val="24"/>
              </w:rPr>
              <w:t>345,711 </w:t>
            </w:r>
          </w:p>
        </w:tc>
        <w:tc>
          <w:tcPr>
            <w:tcW w:w="1485" w:type="dxa"/>
            <w:tcBorders>
              <w:top w:val="single" w:sz="2" w:space="0" w:color="000000"/>
              <w:left w:val="single" w:sz="2" w:space="0" w:color="000000"/>
              <w:bottom w:val="single" w:sz="2" w:space="0" w:color="000000"/>
              <w:right w:val="single" w:sz="2" w:space="0" w:color="000000"/>
            </w:tcBorders>
            <w:shd w:val="clear" w:color="auto" w:fill="DDF0F1"/>
            <w:vAlign w:val="center"/>
            <w:hideMark/>
          </w:tcPr>
          <w:p w14:paraId="2E82CD30" w14:textId="77777777" w:rsidR="00F51571" w:rsidRPr="00F51571" w:rsidRDefault="00F51571" w:rsidP="00F51571">
            <w:pPr>
              <w:spacing w:after="0"/>
              <w:rPr>
                <w:rFonts w:ascii="Arial" w:hAnsi="Arial" w:cs="Arial"/>
                <w:sz w:val="24"/>
                <w:szCs w:val="24"/>
              </w:rPr>
            </w:pPr>
            <w:r w:rsidRPr="00F51571">
              <w:rPr>
                <w:rFonts w:ascii="Arial" w:hAnsi="Arial" w:cs="Arial"/>
                <w:sz w:val="24"/>
                <w:szCs w:val="24"/>
              </w:rPr>
              <w:t>235,055 </w:t>
            </w:r>
          </w:p>
        </w:tc>
      </w:tr>
      <w:tr w:rsidR="00F51571" w:rsidRPr="00F51571" w14:paraId="33E70557" w14:textId="77777777">
        <w:trPr>
          <w:trHeight w:val="285"/>
        </w:trPr>
        <w:tc>
          <w:tcPr>
            <w:tcW w:w="1890" w:type="dxa"/>
            <w:tcBorders>
              <w:top w:val="single" w:sz="2" w:space="0" w:color="000000"/>
              <w:left w:val="single" w:sz="2" w:space="0" w:color="000000"/>
              <w:bottom w:val="single" w:sz="2" w:space="0" w:color="000000"/>
              <w:right w:val="single" w:sz="2" w:space="0" w:color="000000"/>
            </w:tcBorders>
            <w:vAlign w:val="center"/>
            <w:hideMark/>
          </w:tcPr>
          <w:p w14:paraId="73892F69" w14:textId="20EB79A1" w:rsidR="00F51571" w:rsidRPr="00F51571" w:rsidRDefault="00F51571" w:rsidP="00856761">
            <w:pPr>
              <w:spacing w:after="0"/>
              <w:jc w:val="center"/>
              <w:rPr>
                <w:rFonts w:ascii="Arial" w:hAnsi="Arial" w:cs="Arial"/>
                <w:sz w:val="24"/>
                <w:szCs w:val="24"/>
              </w:rPr>
            </w:pPr>
            <w:r w:rsidRPr="00F51571">
              <w:rPr>
                <w:rFonts w:ascii="Arial" w:hAnsi="Arial" w:cs="Arial"/>
                <w:sz w:val="24"/>
                <w:szCs w:val="24"/>
              </w:rPr>
              <w:t>Renewals</w:t>
            </w:r>
          </w:p>
        </w:tc>
        <w:tc>
          <w:tcPr>
            <w:tcW w:w="1485" w:type="dxa"/>
            <w:tcBorders>
              <w:top w:val="single" w:sz="2" w:space="0" w:color="000000"/>
              <w:left w:val="single" w:sz="2" w:space="0" w:color="000000"/>
              <w:bottom w:val="single" w:sz="2" w:space="0" w:color="000000"/>
              <w:right w:val="single" w:sz="2" w:space="0" w:color="000000"/>
            </w:tcBorders>
            <w:vAlign w:val="center"/>
            <w:hideMark/>
          </w:tcPr>
          <w:p w14:paraId="70ECCCA6" w14:textId="77777777" w:rsidR="00F51571" w:rsidRPr="00F51571" w:rsidRDefault="00F51571" w:rsidP="00F51571">
            <w:pPr>
              <w:spacing w:after="0"/>
              <w:rPr>
                <w:rFonts w:ascii="Arial" w:hAnsi="Arial" w:cs="Arial"/>
                <w:sz w:val="24"/>
                <w:szCs w:val="24"/>
              </w:rPr>
            </w:pPr>
            <w:r w:rsidRPr="00F51571">
              <w:rPr>
                <w:rFonts w:ascii="Arial" w:hAnsi="Arial" w:cs="Arial"/>
                <w:sz w:val="24"/>
                <w:szCs w:val="24"/>
              </w:rPr>
              <w:t>1,521,867 </w:t>
            </w:r>
          </w:p>
        </w:tc>
        <w:tc>
          <w:tcPr>
            <w:tcW w:w="1485" w:type="dxa"/>
            <w:tcBorders>
              <w:top w:val="single" w:sz="2" w:space="0" w:color="000000"/>
              <w:left w:val="single" w:sz="2" w:space="0" w:color="000000"/>
              <w:bottom w:val="single" w:sz="2" w:space="0" w:color="000000"/>
              <w:right w:val="single" w:sz="2" w:space="0" w:color="000000"/>
            </w:tcBorders>
            <w:vAlign w:val="center"/>
            <w:hideMark/>
          </w:tcPr>
          <w:p w14:paraId="4773DFBC" w14:textId="77777777" w:rsidR="00F51571" w:rsidRPr="00F51571" w:rsidRDefault="00F51571" w:rsidP="00F51571">
            <w:pPr>
              <w:spacing w:after="0"/>
              <w:rPr>
                <w:rFonts w:ascii="Arial" w:hAnsi="Arial" w:cs="Arial"/>
                <w:sz w:val="24"/>
                <w:szCs w:val="24"/>
              </w:rPr>
            </w:pPr>
            <w:r w:rsidRPr="00F51571">
              <w:rPr>
                <w:rFonts w:ascii="Arial" w:hAnsi="Arial" w:cs="Arial"/>
                <w:sz w:val="24"/>
                <w:szCs w:val="24"/>
              </w:rPr>
              <w:t>1,476,043 </w:t>
            </w:r>
          </w:p>
        </w:tc>
        <w:tc>
          <w:tcPr>
            <w:tcW w:w="1485" w:type="dxa"/>
            <w:tcBorders>
              <w:top w:val="single" w:sz="2" w:space="0" w:color="000000"/>
              <w:left w:val="single" w:sz="2" w:space="0" w:color="000000"/>
              <w:bottom w:val="single" w:sz="2" w:space="0" w:color="000000"/>
              <w:right w:val="single" w:sz="2" w:space="0" w:color="000000"/>
            </w:tcBorders>
            <w:vAlign w:val="center"/>
            <w:hideMark/>
          </w:tcPr>
          <w:p w14:paraId="435B0AA2" w14:textId="77777777" w:rsidR="00F51571" w:rsidRPr="00F51571" w:rsidRDefault="00F51571" w:rsidP="00F51571">
            <w:pPr>
              <w:spacing w:after="0"/>
              <w:rPr>
                <w:rFonts w:ascii="Arial" w:hAnsi="Arial" w:cs="Arial"/>
                <w:sz w:val="24"/>
                <w:szCs w:val="24"/>
              </w:rPr>
            </w:pPr>
            <w:r w:rsidRPr="00F51571">
              <w:rPr>
                <w:rFonts w:ascii="Arial" w:hAnsi="Arial" w:cs="Arial"/>
                <w:sz w:val="24"/>
                <w:szCs w:val="24"/>
              </w:rPr>
              <w:t>1,478,271 </w:t>
            </w:r>
          </w:p>
        </w:tc>
        <w:tc>
          <w:tcPr>
            <w:tcW w:w="1485" w:type="dxa"/>
            <w:tcBorders>
              <w:top w:val="single" w:sz="2" w:space="0" w:color="000000"/>
              <w:left w:val="single" w:sz="2" w:space="0" w:color="000000"/>
              <w:bottom w:val="single" w:sz="2" w:space="0" w:color="000000"/>
              <w:right w:val="single" w:sz="2" w:space="0" w:color="000000"/>
            </w:tcBorders>
            <w:vAlign w:val="center"/>
            <w:hideMark/>
          </w:tcPr>
          <w:p w14:paraId="16B3D2CE" w14:textId="77777777" w:rsidR="00F51571" w:rsidRPr="00F51571" w:rsidRDefault="00F51571" w:rsidP="00F51571">
            <w:pPr>
              <w:spacing w:after="0"/>
              <w:rPr>
                <w:rFonts w:ascii="Arial" w:hAnsi="Arial" w:cs="Arial"/>
                <w:sz w:val="24"/>
                <w:szCs w:val="24"/>
              </w:rPr>
            </w:pPr>
            <w:r w:rsidRPr="00F51571">
              <w:rPr>
                <w:rFonts w:ascii="Arial" w:hAnsi="Arial" w:cs="Arial"/>
                <w:sz w:val="24"/>
                <w:szCs w:val="24"/>
              </w:rPr>
              <w:t>1,633,793 </w:t>
            </w:r>
          </w:p>
        </w:tc>
        <w:tc>
          <w:tcPr>
            <w:tcW w:w="1485" w:type="dxa"/>
            <w:tcBorders>
              <w:top w:val="single" w:sz="2" w:space="0" w:color="000000"/>
              <w:left w:val="single" w:sz="2" w:space="0" w:color="000000"/>
              <w:bottom w:val="single" w:sz="2" w:space="0" w:color="000000"/>
              <w:right w:val="single" w:sz="2" w:space="0" w:color="000000"/>
            </w:tcBorders>
            <w:vAlign w:val="center"/>
            <w:hideMark/>
          </w:tcPr>
          <w:p w14:paraId="0BAAD62C" w14:textId="77777777" w:rsidR="00F51571" w:rsidRPr="00F51571" w:rsidRDefault="00F51571" w:rsidP="00F51571">
            <w:pPr>
              <w:spacing w:after="0"/>
              <w:rPr>
                <w:rFonts w:ascii="Arial" w:hAnsi="Arial" w:cs="Arial"/>
                <w:sz w:val="24"/>
                <w:szCs w:val="24"/>
              </w:rPr>
            </w:pPr>
            <w:r w:rsidRPr="00F51571">
              <w:rPr>
                <w:rFonts w:ascii="Arial" w:hAnsi="Arial" w:cs="Arial"/>
                <w:sz w:val="24"/>
                <w:szCs w:val="24"/>
              </w:rPr>
              <w:t>1,692,316 </w:t>
            </w:r>
          </w:p>
        </w:tc>
      </w:tr>
      <w:tr w:rsidR="00F51571" w:rsidRPr="00F51571" w14:paraId="68714E64" w14:textId="77777777">
        <w:trPr>
          <w:trHeight w:val="690"/>
        </w:trPr>
        <w:tc>
          <w:tcPr>
            <w:tcW w:w="1890" w:type="dxa"/>
            <w:tcBorders>
              <w:top w:val="single" w:sz="2" w:space="0" w:color="000000"/>
              <w:left w:val="single" w:sz="2" w:space="0" w:color="000000"/>
              <w:bottom w:val="single" w:sz="2" w:space="0" w:color="000000"/>
              <w:right w:val="single" w:sz="2" w:space="0" w:color="000000"/>
            </w:tcBorders>
            <w:shd w:val="clear" w:color="auto" w:fill="DDF0F1"/>
            <w:vAlign w:val="center"/>
            <w:hideMark/>
          </w:tcPr>
          <w:p w14:paraId="40C4ACA7" w14:textId="04A5D6C1" w:rsidR="00F51571" w:rsidRPr="00F51571" w:rsidRDefault="00F51571" w:rsidP="00856761">
            <w:pPr>
              <w:spacing w:after="0"/>
              <w:jc w:val="center"/>
              <w:rPr>
                <w:rFonts w:ascii="Arial" w:hAnsi="Arial" w:cs="Arial"/>
                <w:sz w:val="24"/>
                <w:szCs w:val="24"/>
              </w:rPr>
            </w:pPr>
            <w:r w:rsidRPr="00F51571">
              <w:rPr>
                <w:rFonts w:ascii="Arial" w:hAnsi="Arial" w:cs="Arial"/>
                <w:sz w:val="24"/>
                <w:szCs w:val="24"/>
              </w:rPr>
              <w:t>Total Plan Selections</w:t>
            </w:r>
          </w:p>
        </w:tc>
        <w:tc>
          <w:tcPr>
            <w:tcW w:w="1485" w:type="dxa"/>
            <w:tcBorders>
              <w:top w:val="single" w:sz="2" w:space="0" w:color="000000"/>
              <w:left w:val="single" w:sz="2" w:space="0" w:color="000000"/>
              <w:bottom w:val="single" w:sz="2" w:space="0" w:color="000000"/>
              <w:right w:val="single" w:sz="2" w:space="0" w:color="000000"/>
            </w:tcBorders>
            <w:shd w:val="clear" w:color="auto" w:fill="DDF0F1"/>
            <w:vAlign w:val="center"/>
            <w:hideMark/>
          </w:tcPr>
          <w:p w14:paraId="54205889" w14:textId="77777777" w:rsidR="00F51571" w:rsidRPr="00F51571" w:rsidRDefault="00F51571" w:rsidP="00F51571">
            <w:pPr>
              <w:spacing w:after="0"/>
              <w:rPr>
                <w:rFonts w:ascii="Arial" w:hAnsi="Arial" w:cs="Arial"/>
                <w:sz w:val="24"/>
                <w:szCs w:val="24"/>
              </w:rPr>
            </w:pPr>
            <w:r w:rsidRPr="00F51571">
              <w:rPr>
                <w:rFonts w:ascii="Arial" w:hAnsi="Arial" w:cs="Arial"/>
                <w:b/>
                <w:bCs/>
                <w:sz w:val="24"/>
                <w:szCs w:val="24"/>
              </w:rPr>
              <w:t>1,777,442</w:t>
            </w:r>
            <w:r w:rsidRPr="00F51571">
              <w:rPr>
                <w:rFonts w:ascii="Arial" w:hAnsi="Arial" w:cs="Arial"/>
                <w:sz w:val="24"/>
                <w:szCs w:val="24"/>
              </w:rPr>
              <w:t> </w:t>
            </w:r>
          </w:p>
        </w:tc>
        <w:tc>
          <w:tcPr>
            <w:tcW w:w="1485" w:type="dxa"/>
            <w:tcBorders>
              <w:top w:val="single" w:sz="2" w:space="0" w:color="000000"/>
              <w:left w:val="single" w:sz="2" w:space="0" w:color="000000"/>
              <w:bottom w:val="single" w:sz="2" w:space="0" w:color="000000"/>
              <w:right w:val="single" w:sz="2" w:space="0" w:color="000000"/>
            </w:tcBorders>
            <w:shd w:val="clear" w:color="auto" w:fill="DDF0F1"/>
            <w:vAlign w:val="center"/>
            <w:hideMark/>
          </w:tcPr>
          <w:p w14:paraId="77F15FC0" w14:textId="77777777" w:rsidR="00F51571" w:rsidRPr="00F51571" w:rsidRDefault="00F51571" w:rsidP="00F51571">
            <w:pPr>
              <w:spacing w:after="0"/>
              <w:rPr>
                <w:rFonts w:ascii="Arial" w:hAnsi="Arial" w:cs="Arial"/>
                <w:sz w:val="24"/>
                <w:szCs w:val="24"/>
              </w:rPr>
            </w:pPr>
            <w:r w:rsidRPr="00F51571">
              <w:rPr>
                <w:rFonts w:ascii="Arial" w:hAnsi="Arial" w:cs="Arial"/>
                <w:b/>
                <w:bCs/>
                <w:sz w:val="24"/>
                <w:szCs w:val="24"/>
              </w:rPr>
              <w:t>1,739,368</w:t>
            </w:r>
            <w:r w:rsidRPr="00F51571">
              <w:rPr>
                <w:rFonts w:ascii="Arial" w:hAnsi="Arial" w:cs="Arial"/>
                <w:sz w:val="24"/>
                <w:szCs w:val="24"/>
              </w:rPr>
              <w:t> </w:t>
            </w:r>
          </w:p>
        </w:tc>
        <w:tc>
          <w:tcPr>
            <w:tcW w:w="1485" w:type="dxa"/>
            <w:tcBorders>
              <w:top w:val="single" w:sz="2" w:space="0" w:color="000000"/>
              <w:left w:val="single" w:sz="2" w:space="0" w:color="000000"/>
              <w:bottom w:val="single" w:sz="2" w:space="0" w:color="000000"/>
              <w:right w:val="single" w:sz="2" w:space="0" w:color="000000"/>
            </w:tcBorders>
            <w:shd w:val="clear" w:color="auto" w:fill="DDF0F1"/>
            <w:vAlign w:val="center"/>
            <w:hideMark/>
          </w:tcPr>
          <w:p w14:paraId="01F33CBE" w14:textId="77777777" w:rsidR="00F51571" w:rsidRPr="00F51571" w:rsidRDefault="00F51571" w:rsidP="00F51571">
            <w:pPr>
              <w:spacing w:after="0"/>
              <w:rPr>
                <w:rFonts w:ascii="Arial" w:hAnsi="Arial" w:cs="Arial"/>
                <w:sz w:val="24"/>
                <w:szCs w:val="24"/>
              </w:rPr>
            </w:pPr>
            <w:r w:rsidRPr="00F51571">
              <w:rPr>
                <w:rFonts w:ascii="Arial" w:hAnsi="Arial" w:cs="Arial"/>
                <w:b/>
                <w:bCs/>
                <w:sz w:val="24"/>
                <w:szCs w:val="24"/>
              </w:rPr>
              <w:t>1,784,653</w:t>
            </w:r>
            <w:r w:rsidRPr="00F51571">
              <w:rPr>
                <w:rFonts w:ascii="Arial" w:hAnsi="Arial" w:cs="Arial"/>
                <w:sz w:val="24"/>
                <w:szCs w:val="24"/>
              </w:rPr>
              <w:t> </w:t>
            </w:r>
          </w:p>
        </w:tc>
        <w:tc>
          <w:tcPr>
            <w:tcW w:w="1485" w:type="dxa"/>
            <w:tcBorders>
              <w:top w:val="single" w:sz="2" w:space="0" w:color="000000"/>
              <w:left w:val="single" w:sz="2" w:space="0" w:color="000000"/>
              <w:bottom w:val="single" w:sz="2" w:space="0" w:color="000000"/>
              <w:right w:val="single" w:sz="2" w:space="0" w:color="000000"/>
            </w:tcBorders>
            <w:shd w:val="clear" w:color="auto" w:fill="DDF0F1"/>
            <w:vAlign w:val="center"/>
            <w:hideMark/>
          </w:tcPr>
          <w:p w14:paraId="6B6DFF64" w14:textId="77777777" w:rsidR="00F51571" w:rsidRPr="00F51571" w:rsidRDefault="00F51571" w:rsidP="00F51571">
            <w:pPr>
              <w:spacing w:after="0"/>
              <w:rPr>
                <w:rFonts w:ascii="Arial" w:hAnsi="Arial" w:cs="Arial"/>
                <w:sz w:val="24"/>
                <w:szCs w:val="24"/>
              </w:rPr>
            </w:pPr>
            <w:r w:rsidRPr="00F51571">
              <w:rPr>
                <w:rFonts w:ascii="Arial" w:hAnsi="Arial" w:cs="Arial"/>
                <w:b/>
                <w:bCs/>
                <w:sz w:val="24"/>
                <w:szCs w:val="24"/>
              </w:rPr>
              <w:t>1,979,504</w:t>
            </w:r>
            <w:r w:rsidRPr="00F51571">
              <w:rPr>
                <w:rFonts w:ascii="Arial" w:hAnsi="Arial" w:cs="Arial"/>
                <w:sz w:val="24"/>
                <w:szCs w:val="24"/>
              </w:rPr>
              <w:t> </w:t>
            </w:r>
          </w:p>
        </w:tc>
        <w:tc>
          <w:tcPr>
            <w:tcW w:w="1485" w:type="dxa"/>
            <w:tcBorders>
              <w:top w:val="single" w:sz="2" w:space="0" w:color="000000"/>
              <w:left w:val="single" w:sz="2" w:space="0" w:color="000000"/>
              <w:bottom w:val="single" w:sz="2" w:space="0" w:color="000000"/>
              <w:right w:val="single" w:sz="2" w:space="0" w:color="000000"/>
            </w:tcBorders>
            <w:shd w:val="clear" w:color="auto" w:fill="DDF0F1"/>
            <w:vAlign w:val="center"/>
            <w:hideMark/>
          </w:tcPr>
          <w:p w14:paraId="75EB8C46" w14:textId="77777777" w:rsidR="00F51571" w:rsidRPr="00F51571" w:rsidRDefault="00F51571" w:rsidP="00F51571">
            <w:pPr>
              <w:spacing w:after="0"/>
              <w:rPr>
                <w:rFonts w:ascii="Arial" w:hAnsi="Arial" w:cs="Arial"/>
                <w:sz w:val="24"/>
                <w:szCs w:val="24"/>
              </w:rPr>
            </w:pPr>
            <w:r w:rsidRPr="00F51571">
              <w:rPr>
                <w:rFonts w:ascii="Arial" w:hAnsi="Arial" w:cs="Arial"/>
                <w:b/>
                <w:bCs/>
                <w:sz w:val="24"/>
                <w:szCs w:val="24"/>
              </w:rPr>
              <w:t>1,927,371</w:t>
            </w:r>
            <w:r w:rsidRPr="00F51571">
              <w:rPr>
                <w:rFonts w:ascii="Arial" w:hAnsi="Arial" w:cs="Arial"/>
                <w:sz w:val="24"/>
                <w:szCs w:val="24"/>
              </w:rPr>
              <w:t> </w:t>
            </w:r>
          </w:p>
        </w:tc>
      </w:tr>
    </w:tbl>
    <w:p w14:paraId="46CAE450" w14:textId="77777777" w:rsidR="008532F6" w:rsidRDefault="008532F6" w:rsidP="00B77249">
      <w:pPr>
        <w:spacing w:after="0"/>
        <w:rPr>
          <w:rFonts w:ascii="Arial" w:hAnsi="Arial" w:cs="Arial"/>
          <w:sz w:val="24"/>
          <w:szCs w:val="24"/>
          <w:lang w:val="es-MX"/>
        </w:rPr>
      </w:pPr>
    </w:p>
    <w:p w14:paraId="1FAE252D" w14:textId="77777777" w:rsidR="008532F6" w:rsidRDefault="008532F6" w:rsidP="00B77249">
      <w:pPr>
        <w:spacing w:after="0"/>
        <w:rPr>
          <w:rFonts w:ascii="Arial" w:hAnsi="Arial" w:cs="Arial"/>
          <w:sz w:val="24"/>
          <w:szCs w:val="24"/>
          <w:lang w:val="es-MX"/>
        </w:rPr>
      </w:pPr>
    </w:p>
    <w:p w14:paraId="53D2166D" w14:textId="617F42EA" w:rsidR="00736D35" w:rsidRDefault="00BB4FB4" w:rsidP="00B77249">
      <w:pPr>
        <w:spacing w:after="0"/>
        <w:rPr>
          <w:rFonts w:ascii="Arial" w:hAnsi="Arial" w:cs="Arial"/>
          <w:sz w:val="24"/>
          <w:szCs w:val="24"/>
          <w:lang w:val="es-MX"/>
        </w:rPr>
      </w:pPr>
      <w:r w:rsidRPr="00BB4FB4">
        <w:rPr>
          <w:rFonts w:ascii="Arial" w:hAnsi="Arial" w:cs="Arial"/>
          <w:sz w:val="24"/>
          <w:szCs w:val="24"/>
          <w:lang w:val="es-MX"/>
        </w:rPr>
        <w:t xml:space="preserve">Las nuevas inscripciones han disminuido un 32 </w:t>
      </w:r>
      <w:r>
        <w:rPr>
          <w:rFonts w:ascii="Arial" w:hAnsi="Arial" w:cs="Arial"/>
          <w:sz w:val="24"/>
          <w:szCs w:val="24"/>
          <w:lang w:val="es-MX"/>
        </w:rPr>
        <w:t>por ciento</w:t>
      </w:r>
      <w:r w:rsidRPr="00BB4FB4">
        <w:rPr>
          <w:rFonts w:ascii="Arial" w:hAnsi="Arial" w:cs="Arial"/>
          <w:sz w:val="24"/>
          <w:szCs w:val="24"/>
          <w:lang w:val="es-MX"/>
        </w:rPr>
        <w:t xml:space="preserve"> con respecto al año pasado, mientras que las renovaciones han aumentado un 4 </w:t>
      </w:r>
      <w:r>
        <w:rPr>
          <w:rFonts w:ascii="Arial" w:hAnsi="Arial" w:cs="Arial"/>
          <w:sz w:val="24"/>
          <w:szCs w:val="24"/>
          <w:lang w:val="es-MX"/>
        </w:rPr>
        <w:t>por ciento</w:t>
      </w:r>
      <w:r w:rsidRPr="00BB4FB4">
        <w:rPr>
          <w:rFonts w:ascii="Arial" w:hAnsi="Arial" w:cs="Arial"/>
          <w:sz w:val="24"/>
          <w:szCs w:val="24"/>
          <w:lang w:val="es-MX"/>
        </w:rPr>
        <w:t xml:space="preserve"> hasta la fecha. Se espera que el número de inscripciones que renuevan disminuya en los próximos meses debido a las consecuencias del aumento de</w:t>
      </w:r>
      <w:r w:rsidR="007E621C">
        <w:rPr>
          <w:rFonts w:ascii="Arial" w:hAnsi="Arial" w:cs="Arial"/>
          <w:sz w:val="24"/>
          <w:szCs w:val="24"/>
          <w:lang w:val="es-MX"/>
        </w:rPr>
        <w:t xml:space="preserve">l pago mensual </w:t>
      </w:r>
      <w:r w:rsidRPr="00BB4FB4">
        <w:rPr>
          <w:rFonts w:ascii="Arial" w:hAnsi="Arial" w:cs="Arial"/>
          <w:sz w:val="24"/>
          <w:szCs w:val="24"/>
          <w:lang w:val="es-MX"/>
        </w:rPr>
        <w:t xml:space="preserve">debido al vencimiento de los </w:t>
      </w:r>
      <w:r w:rsidR="007E621C" w:rsidRPr="00BB4FB4">
        <w:rPr>
          <w:rFonts w:ascii="Arial" w:hAnsi="Arial" w:cs="Arial"/>
          <w:sz w:val="24"/>
          <w:szCs w:val="24"/>
          <w:lang w:val="es-MX"/>
        </w:rPr>
        <w:t xml:space="preserve">créditos fiscales </w:t>
      </w:r>
      <w:r w:rsidR="007E621C">
        <w:rPr>
          <w:rFonts w:ascii="Arial" w:hAnsi="Arial" w:cs="Arial"/>
          <w:sz w:val="24"/>
          <w:szCs w:val="24"/>
          <w:lang w:val="es-MX"/>
        </w:rPr>
        <w:t>premium mejorados</w:t>
      </w:r>
      <w:r w:rsidR="007E621C" w:rsidRPr="00BB4FB4">
        <w:rPr>
          <w:rFonts w:ascii="Arial" w:hAnsi="Arial" w:cs="Arial"/>
          <w:sz w:val="24"/>
          <w:szCs w:val="24"/>
          <w:lang w:val="es-MX"/>
        </w:rPr>
        <w:t xml:space="preserve"> (</w:t>
      </w:r>
      <w:r w:rsidR="007E621C">
        <w:rPr>
          <w:rFonts w:ascii="Arial" w:hAnsi="Arial" w:cs="Arial"/>
          <w:sz w:val="24"/>
          <w:szCs w:val="24"/>
          <w:lang w:val="es-MX"/>
        </w:rPr>
        <w:t>EPTC, por sus siglas en inglés</w:t>
      </w:r>
      <w:r w:rsidR="007E621C" w:rsidRPr="00BB4FB4">
        <w:rPr>
          <w:rFonts w:ascii="Arial" w:hAnsi="Arial" w:cs="Arial"/>
          <w:sz w:val="24"/>
          <w:szCs w:val="24"/>
          <w:lang w:val="es-MX"/>
        </w:rPr>
        <w:t xml:space="preserve">). </w:t>
      </w:r>
      <w:r w:rsidRPr="00BB4FB4">
        <w:rPr>
          <w:rFonts w:ascii="Arial" w:hAnsi="Arial" w:cs="Arial"/>
          <w:sz w:val="24"/>
          <w:szCs w:val="24"/>
          <w:lang w:val="es-MX"/>
        </w:rPr>
        <w:t xml:space="preserve">Las cancelaciones de los consumidores que cumplen los requisitos para la renovación no se liquidan hasta después de abril, pero, según los datos disponibles hasta la fecha, las cancelaciones son un 32 </w:t>
      </w:r>
      <w:r w:rsidR="003522D5">
        <w:rPr>
          <w:rFonts w:ascii="Arial" w:hAnsi="Arial" w:cs="Arial"/>
          <w:sz w:val="24"/>
          <w:szCs w:val="24"/>
          <w:lang w:val="es-MX"/>
        </w:rPr>
        <w:t>por ciento</w:t>
      </w:r>
      <w:r w:rsidRPr="00BB4FB4">
        <w:rPr>
          <w:rFonts w:ascii="Arial" w:hAnsi="Arial" w:cs="Arial"/>
          <w:sz w:val="24"/>
          <w:szCs w:val="24"/>
          <w:lang w:val="es-MX"/>
        </w:rPr>
        <w:t xml:space="preserve"> más altas que el año pasado.</w:t>
      </w:r>
    </w:p>
    <w:p w14:paraId="1C64A490" w14:textId="77777777" w:rsidR="00736D35" w:rsidRDefault="00736D35" w:rsidP="00B77249">
      <w:pPr>
        <w:spacing w:after="0"/>
        <w:rPr>
          <w:rFonts w:ascii="Arial" w:hAnsi="Arial" w:cs="Arial"/>
          <w:sz w:val="24"/>
          <w:szCs w:val="24"/>
          <w:lang w:val="es-MX"/>
        </w:rPr>
      </w:pPr>
    </w:p>
    <w:p w14:paraId="02D6F3D3" w14:textId="29500700" w:rsidR="00736D35" w:rsidRDefault="00736D35" w:rsidP="00B77249">
      <w:pPr>
        <w:spacing w:after="0"/>
        <w:rPr>
          <w:rFonts w:ascii="Arial" w:hAnsi="Arial" w:cs="Arial"/>
          <w:sz w:val="24"/>
          <w:szCs w:val="24"/>
          <w:lang w:val="es-MX"/>
        </w:rPr>
      </w:pPr>
      <w:r w:rsidRPr="00736D35">
        <w:rPr>
          <w:rFonts w:ascii="Arial" w:hAnsi="Arial" w:cs="Arial"/>
          <w:sz w:val="24"/>
          <w:szCs w:val="24"/>
          <w:lang w:val="es-MX"/>
        </w:rPr>
        <w:t xml:space="preserve">Después de cuatro años consecutivos de crecimiento y una inscripción récord en 2025, la inscripción general disminuyó en 2026, pero sigue siendo la segunda más alta al final de la inscripción abierta en la historia de </w:t>
      </w:r>
      <w:proofErr w:type="spellStart"/>
      <w:r w:rsidRPr="00736D35">
        <w:rPr>
          <w:rFonts w:ascii="Arial" w:hAnsi="Arial" w:cs="Arial"/>
          <w:sz w:val="24"/>
          <w:szCs w:val="24"/>
          <w:lang w:val="es-MX"/>
        </w:rPr>
        <w:t>Covered</w:t>
      </w:r>
      <w:proofErr w:type="spellEnd"/>
      <w:r w:rsidRPr="00736D35">
        <w:rPr>
          <w:rFonts w:ascii="Arial" w:hAnsi="Arial" w:cs="Arial"/>
          <w:sz w:val="24"/>
          <w:szCs w:val="24"/>
          <w:lang w:val="es-MX"/>
        </w:rPr>
        <w:t xml:space="preserve"> California.</w:t>
      </w:r>
    </w:p>
    <w:p w14:paraId="4A07CF8D" w14:textId="77777777" w:rsidR="00CF3235" w:rsidRDefault="00CF3235" w:rsidP="00B77249">
      <w:pPr>
        <w:spacing w:after="0"/>
        <w:rPr>
          <w:rFonts w:ascii="Arial" w:hAnsi="Arial" w:cs="Arial"/>
          <w:sz w:val="24"/>
          <w:szCs w:val="24"/>
          <w:lang w:val="es-MX"/>
        </w:rPr>
      </w:pPr>
    </w:p>
    <w:p w14:paraId="3FDCAF3A" w14:textId="77777777" w:rsidR="00F72E40" w:rsidRDefault="00F72E40" w:rsidP="00B77249">
      <w:pPr>
        <w:spacing w:after="0"/>
        <w:rPr>
          <w:rFonts w:ascii="Arial" w:hAnsi="Arial" w:cs="Arial"/>
          <w:sz w:val="24"/>
          <w:szCs w:val="24"/>
          <w:lang w:val="es-MX"/>
        </w:rPr>
      </w:pPr>
    </w:p>
    <w:p w14:paraId="44B29F71" w14:textId="77777777" w:rsidR="00F72E40" w:rsidRDefault="00F72E40" w:rsidP="00B77249">
      <w:pPr>
        <w:spacing w:after="0"/>
        <w:rPr>
          <w:rFonts w:ascii="Arial" w:hAnsi="Arial" w:cs="Arial"/>
          <w:sz w:val="24"/>
          <w:szCs w:val="24"/>
          <w:lang w:val="es-MX"/>
        </w:rPr>
      </w:pPr>
    </w:p>
    <w:p w14:paraId="2ABAF69D" w14:textId="77777777" w:rsidR="00F72E40" w:rsidRDefault="00F72E40" w:rsidP="00B77249">
      <w:pPr>
        <w:spacing w:after="0"/>
        <w:rPr>
          <w:rFonts w:ascii="Arial" w:hAnsi="Arial" w:cs="Arial"/>
          <w:sz w:val="24"/>
          <w:szCs w:val="24"/>
          <w:lang w:val="es-MX"/>
        </w:rPr>
      </w:pPr>
    </w:p>
    <w:p w14:paraId="7826160D" w14:textId="77777777" w:rsidR="00F72E40" w:rsidRDefault="00F72E40" w:rsidP="00B77249">
      <w:pPr>
        <w:spacing w:after="0"/>
        <w:rPr>
          <w:rFonts w:ascii="Arial" w:hAnsi="Arial" w:cs="Arial"/>
          <w:sz w:val="24"/>
          <w:szCs w:val="24"/>
          <w:lang w:val="es-MX"/>
        </w:rPr>
      </w:pPr>
    </w:p>
    <w:p w14:paraId="0211EF7E" w14:textId="4BA7CBCF" w:rsidR="00F72E40" w:rsidRDefault="00F72E40" w:rsidP="00F72E40">
      <w:pPr>
        <w:spacing w:after="0"/>
        <w:jc w:val="center"/>
        <w:rPr>
          <w:rFonts w:ascii="Arial" w:hAnsi="Arial" w:cs="Arial"/>
          <w:sz w:val="24"/>
          <w:szCs w:val="24"/>
          <w:lang w:val="es-MX"/>
        </w:rPr>
      </w:pPr>
      <w:r>
        <w:rPr>
          <w:rFonts w:ascii="Arial" w:hAnsi="Arial" w:cs="Arial"/>
          <w:sz w:val="24"/>
          <w:szCs w:val="24"/>
          <w:lang w:val="es-MX"/>
        </w:rPr>
        <w:t>(más)</w:t>
      </w:r>
    </w:p>
    <w:p w14:paraId="4F869031" w14:textId="77777777" w:rsidR="00F72E40" w:rsidRDefault="00F72E40" w:rsidP="00B77249">
      <w:pPr>
        <w:spacing w:after="0"/>
        <w:rPr>
          <w:rFonts w:ascii="Arial" w:hAnsi="Arial" w:cs="Arial"/>
          <w:sz w:val="24"/>
          <w:szCs w:val="24"/>
          <w:lang w:val="es-MX"/>
        </w:rPr>
      </w:pPr>
    </w:p>
    <w:p w14:paraId="16603BD5" w14:textId="2F168857" w:rsidR="00F72E40" w:rsidRDefault="00CF3235" w:rsidP="00B77249">
      <w:pPr>
        <w:spacing w:after="0"/>
        <w:rPr>
          <w:rFonts w:ascii="Arial" w:hAnsi="Arial" w:cs="Arial"/>
          <w:sz w:val="24"/>
          <w:szCs w:val="24"/>
          <w:lang w:val="es-MX"/>
        </w:rPr>
      </w:pPr>
      <w:r w:rsidRPr="00CF3235">
        <w:rPr>
          <w:rFonts w:ascii="Arial" w:hAnsi="Arial" w:cs="Arial"/>
          <w:sz w:val="24"/>
          <w:szCs w:val="24"/>
          <w:lang w:val="es-MX"/>
        </w:rPr>
        <w:t xml:space="preserve">“El período de inscripción abierta de este año fue único por muchas razones, agravadas por la pérdida de los </w:t>
      </w:r>
      <w:r w:rsidR="00912D41" w:rsidRPr="00CF3235">
        <w:rPr>
          <w:rFonts w:ascii="Arial" w:hAnsi="Arial" w:cs="Arial"/>
          <w:sz w:val="24"/>
          <w:szCs w:val="24"/>
          <w:lang w:val="es-MX"/>
        </w:rPr>
        <w:t xml:space="preserve">créditos fiscales </w:t>
      </w:r>
      <w:r w:rsidR="000D7ABE">
        <w:rPr>
          <w:rFonts w:ascii="Arial" w:hAnsi="Arial" w:cs="Arial"/>
          <w:sz w:val="24"/>
          <w:szCs w:val="24"/>
          <w:lang w:val="es-MX"/>
        </w:rPr>
        <w:t xml:space="preserve">premium mejorados </w:t>
      </w:r>
      <w:r w:rsidRPr="00CF3235">
        <w:rPr>
          <w:rFonts w:ascii="Arial" w:hAnsi="Arial" w:cs="Arial"/>
          <w:sz w:val="24"/>
          <w:szCs w:val="24"/>
          <w:lang w:val="es-MX"/>
        </w:rPr>
        <w:t xml:space="preserve">que han ayudado a miles de californianos a pagar sus primas mensuales”, declaró Jessica Altman, </w:t>
      </w:r>
    </w:p>
    <w:p w14:paraId="562532EA" w14:textId="6EA04ABE" w:rsidR="00CF3235" w:rsidRDefault="00CF3235" w:rsidP="00B77249">
      <w:pPr>
        <w:spacing w:after="0"/>
        <w:rPr>
          <w:rFonts w:ascii="Arial" w:hAnsi="Arial" w:cs="Arial"/>
          <w:sz w:val="24"/>
          <w:szCs w:val="24"/>
          <w:lang w:val="es-MX"/>
        </w:rPr>
      </w:pPr>
      <w:r w:rsidRPr="00CF3235">
        <w:rPr>
          <w:rFonts w:ascii="Arial" w:hAnsi="Arial" w:cs="Arial"/>
          <w:sz w:val="24"/>
          <w:szCs w:val="24"/>
          <w:lang w:val="es-MX"/>
        </w:rPr>
        <w:t xml:space="preserve">directora ejecutiva de </w:t>
      </w:r>
      <w:proofErr w:type="spellStart"/>
      <w:r w:rsidRPr="00CF3235">
        <w:rPr>
          <w:rFonts w:ascii="Arial" w:hAnsi="Arial" w:cs="Arial"/>
          <w:sz w:val="24"/>
          <w:szCs w:val="24"/>
          <w:lang w:val="es-MX"/>
        </w:rPr>
        <w:t>Covered</w:t>
      </w:r>
      <w:proofErr w:type="spellEnd"/>
      <w:r w:rsidRPr="00CF3235">
        <w:rPr>
          <w:rFonts w:ascii="Arial" w:hAnsi="Arial" w:cs="Arial"/>
          <w:sz w:val="24"/>
          <w:szCs w:val="24"/>
          <w:lang w:val="es-MX"/>
        </w:rPr>
        <w:t xml:space="preserve"> California. “Muchos californianos ven el valor de mantener su cobertura, pero tuvieron que hacer sacrificios y cambiarse a planes de menor nivel. Lo vemos como un compromiso con la salud y el valor que ofrece </w:t>
      </w:r>
      <w:proofErr w:type="spellStart"/>
      <w:r w:rsidRPr="00CF3235">
        <w:rPr>
          <w:rFonts w:ascii="Arial" w:hAnsi="Arial" w:cs="Arial"/>
          <w:sz w:val="24"/>
          <w:szCs w:val="24"/>
          <w:lang w:val="es-MX"/>
        </w:rPr>
        <w:t>Covered</w:t>
      </w:r>
      <w:proofErr w:type="spellEnd"/>
      <w:r w:rsidRPr="00CF3235">
        <w:rPr>
          <w:rFonts w:ascii="Arial" w:hAnsi="Arial" w:cs="Arial"/>
          <w:sz w:val="24"/>
          <w:szCs w:val="24"/>
          <w:lang w:val="es-MX"/>
        </w:rPr>
        <w:t xml:space="preserve"> California. Estamos orgullosos de lo que hemos logrado, pero aún queda mucho por hacer, con más cambios federales para 2027 en el horizonte”.</w:t>
      </w:r>
    </w:p>
    <w:p w14:paraId="2348FC3E" w14:textId="77777777" w:rsidR="000D7ABE" w:rsidRDefault="000D7ABE" w:rsidP="00B77249">
      <w:pPr>
        <w:spacing w:after="0"/>
        <w:rPr>
          <w:rFonts w:ascii="Arial" w:hAnsi="Arial" w:cs="Arial"/>
          <w:sz w:val="24"/>
          <w:szCs w:val="24"/>
          <w:lang w:val="es-MX"/>
        </w:rPr>
      </w:pPr>
    </w:p>
    <w:p w14:paraId="54D7DCF7" w14:textId="6F634EF7" w:rsidR="000D7ABE" w:rsidRDefault="000D7ABE" w:rsidP="00B77249">
      <w:pPr>
        <w:spacing w:after="0"/>
        <w:rPr>
          <w:rFonts w:ascii="Arial" w:hAnsi="Arial" w:cs="Arial"/>
          <w:sz w:val="24"/>
          <w:szCs w:val="24"/>
          <w:lang w:val="es-MX"/>
        </w:rPr>
      </w:pPr>
      <w:r w:rsidRPr="000D7ABE">
        <w:rPr>
          <w:rFonts w:ascii="Arial" w:hAnsi="Arial" w:cs="Arial"/>
          <w:sz w:val="24"/>
          <w:szCs w:val="24"/>
          <w:lang w:val="es-MX"/>
        </w:rPr>
        <w:t xml:space="preserve">La pérdida </w:t>
      </w:r>
      <w:r w:rsidR="005500BF" w:rsidRPr="000D7ABE">
        <w:rPr>
          <w:rFonts w:ascii="Arial" w:hAnsi="Arial" w:cs="Arial"/>
          <w:sz w:val="24"/>
          <w:szCs w:val="24"/>
          <w:lang w:val="es-MX"/>
        </w:rPr>
        <w:t>de los créditos fiscales premium mejorados</w:t>
      </w:r>
      <w:r w:rsidRPr="000D7ABE">
        <w:rPr>
          <w:rFonts w:ascii="Arial" w:hAnsi="Arial" w:cs="Arial"/>
          <w:sz w:val="24"/>
          <w:szCs w:val="24"/>
          <w:lang w:val="es-MX"/>
        </w:rPr>
        <w:t xml:space="preserve"> provocó una menor cantidad de nuevas inscripciones en californianos de todas las etnias, con una disminución general del 32</w:t>
      </w:r>
      <w:r w:rsidR="005500BF">
        <w:rPr>
          <w:rFonts w:ascii="Arial" w:hAnsi="Arial" w:cs="Arial"/>
          <w:sz w:val="24"/>
          <w:szCs w:val="24"/>
          <w:lang w:val="es-MX"/>
        </w:rPr>
        <w:t xml:space="preserve"> por ciento</w:t>
      </w:r>
      <w:r w:rsidRPr="000D7ABE">
        <w:rPr>
          <w:rFonts w:ascii="Arial" w:hAnsi="Arial" w:cs="Arial"/>
          <w:sz w:val="24"/>
          <w:szCs w:val="24"/>
          <w:lang w:val="es-MX"/>
        </w:rPr>
        <w:t xml:space="preserve"> Las comunidades latinas fueron las más afectadas, con una reducción del 39 </w:t>
      </w:r>
      <w:r w:rsidR="005500BF">
        <w:rPr>
          <w:rFonts w:ascii="Arial" w:hAnsi="Arial" w:cs="Arial"/>
          <w:sz w:val="24"/>
          <w:szCs w:val="24"/>
          <w:lang w:val="es-MX"/>
        </w:rPr>
        <w:t>por ciento</w:t>
      </w:r>
      <w:r w:rsidRPr="000D7ABE">
        <w:rPr>
          <w:rFonts w:ascii="Arial" w:hAnsi="Arial" w:cs="Arial"/>
          <w:sz w:val="24"/>
          <w:szCs w:val="24"/>
          <w:lang w:val="es-MX"/>
        </w:rPr>
        <w:t xml:space="preserve"> en las inscripciones. Quienes se identificaron como negros o afroamericanos experimentaron una disminución del 34 </w:t>
      </w:r>
      <w:r w:rsidR="00235EC9">
        <w:rPr>
          <w:rFonts w:ascii="Arial" w:hAnsi="Arial" w:cs="Arial"/>
          <w:sz w:val="24"/>
          <w:szCs w:val="24"/>
          <w:lang w:val="es-MX"/>
        </w:rPr>
        <w:t>por ciento</w:t>
      </w:r>
      <w:r w:rsidRPr="000D7ABE">
        <w:rPr>
          <w:rFonts w:ascii="Arial" w:hAnsi="Arial" w:cs="Arial"/>
          <w:sz w:val="24"/>
          <w:szCs w:val="24"/>
          <w:lang w:val="es-MX"/>
        </w:rPr>
        <w:t xml:space="preserve"> en las nuevas inscripciones. Más de 1 de cada 3 nuevas inscripciones eligieron planes Bron</w:t>
      </w:r>
      <w:r w:rsidR="00235EC9">
        <w:rPr>
          <w:rFonts w:ascii="Arial" w:hAnsi="Arial" w:cs="Arial"/>
          <w:sz w:val="24"/>
          <w:szCs w:val="24"/>
          <w:lang w:val="es-MX"/>
        </w:rPr>
        <w:t>z</w:t>
      </w:r>
      <w:r w:rsidRPr="000D7ABE">
        <w:rPr>
          <w:rFonts w:ascii="Arial" w:hAnsi="Arial" w:cs="Arial"/>
          <w:sz w:val="24"/>
          <w:szCs w:val="24"/>
          <w:lang w:val="es-MX"/>
        </w:rPr>
        <w:t>e para 2026, en comparación con menos de 1 de cada 4 el año pasado. Esto también provocó que más de 130</w:t>
      </w:r>
      <w:r w:rsidR="00235EC9">
        <w:rPr>
          <w:rFonts w:ascii="Arial" w:hAnsi="Arial" w:cs="Arial"/>
          <w:sz w:val="24"/>
          <w:szCs w:val="24"/>
          <w:lang w:val="es-MX"/>
        </w:rPr>
        <w:t>,</w:t>
      </w:r>
      <w:r w:rsidRPr="000D7ABE">
        <w:rPr>
          <w:rFonts w:ascii="Arial" w:hAnsi="Arial" w:cs="Arial"/>
          <w:sz w:val="24"/>
          <w:szCs w:val="24"/>
          <w:lang w:val="es-MX"/>
        </w:rPr>
        <w:t xml:space="preserve">000 californianos que renovaron su </w:t>
      </w:r>
      <w:r w:rsidR="007754D1">
        <w:rPr>
          <w:rFonts w:ascii="Arial" w:hAnsi="Arial" w:cs="Arial"/>
          <w:sz w:val="24"/>
          <w:szCs w:val="24"/>
          <w:lang w:val="es-MX"/>
        </w:rPr>
        <w:t>ins</w:t>
      </w:r>
      <w:r w:rsidRPr="000D7ABE">
        <w:rPr>
          <w:rFonts w:ascii="Arial" w:hAnsi="Arial" w:cs="Arial"/>
          <w:sz w:val="24"/>
          <w:szCs w:val="24"/>
          <w:lang w:val="es-MX"/>
        </w:rPr>
        <w:t>cripción se cambiaran a planes Bron</w:t>
      </w:r>
      <w:r w:rsidR="007754D1">
        <w:rPr>
          <w:rFonts w:ascii="Arial" w:hAnsi="Arial" w:cs="Arial"/>
          <w:sz w:val="24"/>
          <w:szCs w:val="24"/>
          <w:lang w:val="es-MX"/>
        </w:rPr>
        <w:t>z</w:t>
      </w:r>
      <w:r w:rsidRPr="000D7ABE">
        <w:rPr>
          <w:rFonts w:ascii="Arial" w:hAnsi="Arial" w:cs="Arial"/>
          <w:sz w:val="24"/>
          <w:szCs w:val="24"/>
          <w:lang w:val="es-MX"/>
        </w:rPr>
        <w:t>e para 2026.</w:t>
      </w:r>
    </w:p>
    <w:p w14:paraId="06655C8C" w14:textId="77777777" w:rsidR="00ED12CF" w:rsidRDefault="00ED12CF" w:rsidP="00B77249">
      <w:pPr>
        <w:spacing w:after="0"/>
        <w:rPr>
          <w:rFonts w:ascii="Arial" w:hAnsi="Arial" w:cs="Arial"/>
          <w:sz w:val="24"/>
          <w:szCs w:val="24"/>
          <w:lang w:val="es-MX"/>
        </w:rPr>
      </w:pPr>
    </w:p>
    <w:p w14:paraId="469A8323" w14:textId="595391F1" w:rsidR="00736D35" w:rsidRDefault="009776D1" w:rsidP="00B77249">
      <w:pPr>
        <w:spacing w:after="0"/>
        <w:rPr>
          <w:rFonts w:ascii="Arial" w:hAnsi="Arial" w:cs="Arial"/>
          <w:sz w:val="24"/>
          <w:szCs w:val="24"/>
          <w:lang w:val="es-MX"/>
        </w:rPr>
      </w:pPr>
      <w:r w:rsidRPr="009776D1">
        <w:rPr>
          <w:rFonts w:ascii="Arial" w:hAnsi="Arial" w:cs="Arial"/>
          <w:sz w:val="24"/>
          <w:szCs w:val="24"/>
          <w:lang w:val="es-MX"/>
        </w:rPr>
        <w:t>Los californianos con ingresos superiores al 400</w:t>
      </w:r>
      <w:r>
        <w:rPr>
          <w:rFonts w:ascii="Arial" w:hAnsi="Arial" w:cs="Arial"/>
          <w:sz w:val="24"/>
          <w:szCs w:val="24"/>
          <w:lang w:val="es-MX"/>
        </w:rPr>
        <w:t xml:space="preserve"> por ciento</w:t>
      </w:r>
      <w:r w:rsidRPr="009776D1">
        <w:rPr>
          <w:rFonts w:ascii="Arial" w:hAnsi="Arial" w:cs="Arial"/>
          <w:sz w:val="24"/>
          <w:szCs w:val="24"/>
          <w:lang w:val="es-MX"/>
        </w:rPr>
        <w:t xml:space="preserve"> del nivel federal de pobreza también experimentaron importantes descensos en la inscripción, ya que ya no son elegibles para ningún crédito fiscal debido a la pérdida de</w:t>
      </w:r>
      <w:r w:rsidR="00142BBF">
        <w:rPr>
          <w:rFonts w:ascii="Arial" w:hAnsi="Arial" w:cs="Arial"/>
          <w:sz w:val="24"/>
          <w:szCs w:val="24"/>
          <w:lang w:val="es-MX"/>
        </w:rPr>
        <w:t xml:space="preserve"> los créditos fiscales premium mejorados</w:t>
      </w:r>
      <w:r w:rsidRPr="009776D1">
        <w:rPr>
          <w:rFonts w:ascii="Arial" w:hAnsi="Arial" w:cs="Arial"/>
          <w:sz w:val="24"/>
          <w:szCs w:val="24"/>
          <w:lang w:val="es-MX"/>
        </w:rPr>
        <w:t>. Las nuevas inscripciones en esta población disminuyeron un 59</w:t>
      </w:r>
      <w:r w:rsidR="00142BBF">
        <w:rPr>
          <w:rFonts w:ascii="Arial" w:hAnsi="Arial" w:cs="Arial"/>
          <w:sz w:val="24"/>
          <w:szCs w:val="24"/>
          <w:lang w:val="es-MX"/>
        </w:rPr>
        <w:t xml:space="preserve"> por ciento</w:t>
      </w:r>
      <w:r w:rsidRPr="009776D1">
        <w:rPr>
          <w:rFonts w:ascii="Arial" w:hAnsi="Arial" w:cs="Arial"/>
          <w:sz w:val="24"/>
          <w:szCs w:val="24"/>
          <w:lang w:val="es-MX"/>
        </w:rPr>
        <w:t xml:space="preserve"> en comparación con el año pasado y, como se mencionó, este grupo tuvo la tasa de cancelación de renovaciones más alta (22</w:t>
      </w:r>
      <w:r w:rsidR="00142BBF">
        <w:rPr>
          <w:rFonts w:ascii="Arial" w:hAnsi="Arial" w:cs="Arial"/>
          <w:sz w:val="24"/>
          <w:szCs w:val="24"/>
          <w:lang w:val="es-MX"/>
        </w:rPr>
        <w:t xml:space="preserve"> por ciento)</w:t>
      </w:r>
      <w:r w:rsidRPr="009776D1">
        <w:rPr>
          <w:rFonts w:ascii="Arial" w:hAnsi="Arial" w:cs="Arial"/>
          <w:sz w:val="24"/>
          <w:szCs w:val="24"/>
          <w:lang w:val="es-MX"/>
        </w:rPr>
        <w:t xml:space="preserve"> entre todos los grupos de ingresos.</w:t>
      </w:r>
    </w:p>
    <w:p w14:paraId="60F5BD1B" w14:textId="77777777" w:rsidR="00736D35" w:rsidRDefault="00736D35" w:rsidP="00B77249">
      <w:pPr>
        <w:spacing w:after="0"/>
        <w:rPr>
          <w:rFonts w:ascii="Arial" w:hAnsi="Arial" w:cs="Arial"/>
          <w:sz w:val="24"/>
          <w:szCs w:val="24"/>
          <w:lang w:val="es-MX"/>
        </w:rPr>
      </w:pPr>
    </w:p>
    <w:p w14:paraId="02F505A7" w14:textId="282F3FF9" w:rsidR="00736D35" w:rsidRDefault="00C01BF6" w:rsidP="00B77249">
      <w:pPr>
        <w:spacing w:after="0"/>
        <w:rPr>
          <w:rFonts w:ascii="Arial" w:hAnsi="Arial" w:cs="Arial"/>
          <w:sz w:val="24"/>
          <w:szCs w:val="24"/>
          <w:lang w:val="es-MX"/>
        </w:rPr>
      </w:pPr>
      <w:r w:rsidRPr="00C01BF6">
        <w:rPr>
          <w:rFonts w:ascii="Arial" w:hAnsi="Arial" w:cs="Arial"/>
          <w:sz w:val="24"/>
          <w:szCs w:val="24"/>
          <w:lang w:val="es-MX"/>
        </w:rPr>
        <w:t xml:space="preserve">Casi la mitad de los consumidores de </w:t>
      </w:r>
      <w:proofErr w:type="spellStart"/>
      <w:r w:rsidRPr="00C01BF6">
        <w:rPr>
          <w:rFonts w:ascii="Arial" w:hAnsi="Arial" w:cs="Arial"/>
          <w:sz w:val="24"/>
          <w:szCs w:val="24"/>
          <w:lang w:val="es-MX"/>
        </w:rPr>
        <w:t>Covered</w:t>
      </w:r>
      <w:proofErr w:type="spellEnd"/>
      <w:r w:rsidRPr="00C01BF6">
        <w:rPr>
          <w:rFonts w:ascii="Arial" w:hAnsi="Arial" w:cs="Arial"/>
          <w:sz w:val="24"/>
          <w:szCs w:val="24"/>
          <w:lang w:val="es-MX"/>
        </w:rPr>
        <w:t xml:space="preserve"> California (935,700) residen en el sur de California y otro 20</w:t>
      </w:r>
      <w:r>
        <w:rPr>
          <w:rFonts w:ascii="Arial" w:hAnsi="Arial" w:cs="Arial"/>
          <w:sz w:val="24"/>
          <w:szCs w:val="24"/>
          <w:lang w:val="es-MX"/>
        </w:rPr>
        <w:t xml:space="preserve"> por ciento</w:t>
      </w:r>
      <w:r w:rsidRPr="00C01BF6">
        <w:rPr>
          <w:rFonts w:ascii="Arial" w:hAnsi="Arial" w:cs="Arial"/>
          <w:sz w:val="24"/>
          <w:szCs w:val="24"/>
          <w:lang w:val="es-MX"/>
        </w:rPr>
        <w:t xml:space="preserve"> (391,680) en el Área de la Bahía. El Valle de Sacramento y San Joaquín cuenta con 205,610 californianos inscritos en cobertura, mientras que 148,620 están cubiertos en San Diego.</w:t>
      </w:r>
    </w:p>
    <w:p w14:paraId="592F4B60" w14:textId="77777777" w:rsidR="006B3DDC" w:rsidRPr="00887328" w:rsidRDefault="006B3DDC" w:rsidP="00B77249">
      <w:pPr>
        <w:spacing w:after="0"/>
        <w:rPr>
          <w:rFonts w:ascii="Arial" w:hAnsi="Arial" w:cs="Arial"/>
          <w:sz w:val="24"/>
          <w:szCs w:val="24"/>
          <w:lang w:val="es-MX"/>
        </w:rPr>
      </w:pPr>
    </w:p>
    <w:p w14:paraId="64730D48" w14:textId="3D3EFEAE" w:rsidR="006B3DDC" w:rsidRPr="00887328" w:rsidRDefault="00C16C57" w:rsidP="00B77249">
      <w:pPr>
        <w:spacing w:after="0"/>
        <w:rPr>
          <w:rFonts w:ascii="Arial" w:hAnsi="Arial" w:cs="Arial"/>
          <w:b/>
          <w:bCs/>
          <w:sz w:val="24"/>
          <w:szCs w:val="24"/>
          <w:lang w:val="es-MX"/>
        </w:rPr>
      </w:pPr>
      <w:r w:rsidRPr="00887328">
        <w:rPr>
          <w:rFonts w:ascii="Arial" w:hAnsi="Arial" w:cs="Arial"/>
          <w:b/>
          <w:bCs/>
          <w:sz w:val="24"/>
          <w:szCs w:val="24"/>
          <w:lang w:val="es-MX"/>
        </w:rPr>
        <w:t>Inscribirte</w:t>
      </w:r>
      <w:r w:rsidR="00873045" w:rsidRPr="00887328">
        <w:rPr>
          <w:rFonts w:ascii="Arial" w:hAnsi="Arial" w:cs="Arial"/>
          <w:b/>
          <w:bCs/>
          <w:sz w:val="24"/>
          <w:szCs w:val="24"/>
          <w:lang w:val="es-MX"/>
        </w:rPr>
        <w:t xml:space="preserve"> a un plan de seguro de salud</w:t>
      </w:r>
      <w:r w:rsidR="006B3DDC" w:rsidRPr="00887328">
        <w:rPr>
          <w:rFonts w:ascii="Arial" w:hAnsi="Arial" w:cs="Arial"/>
          <w:b/>
          <w:bCs/>
          <w:sz w:val="24"/>
          <w:szCs w:val="24"/>
          <w:lang w:val="es-MX"/>
        </w:rPr>
        <w:t xml:space="preserve"> es fácil.</w:t>
      </w:r>
    </w:p>
    <w:p w14:paraId="62CC564D" w14:textId="77777777" w:rsidR="008A1018" w:rsidRPr="00887328" w:rsidRDefault="008A1018" w:rsidP="00B77249">
      <w:pPr>
        <w:spacing w:after="0"/>
        <w:rPr>
          <w:rFonts w:ascii="Arial" w:hAnsi="Arial" w:cs="Arial"/>
          <w:b/>
          <w:bCs/>
          <w:sz w:val="24"/>
          <w:szCs w:val="24"/>
          <w:lang w:val="es-MX"/>
        </w:rPr>
      </w:pPr>
    </w:p>
    <w:p w14:paraId="2AB88DF3" w14:textId="54CFFE4C" w:rsidR="008A1018" w:rsidRPr="00887328" w:rsidRDefault="008A1018" w:rsidP="00B77249">
      <w:pPr>
        <w:spacing w:after="0"/>
        <w:rPr>
          <w:rFonts w:ascii="Arial" w:hAnsi="Arial" w:cs="Arial"/>
          <w:sz w:val="24"/>
          <w:szCs w:val="24"/>
          <w:lang w:val="es-MX"/>
        </w:rPr>
      </w:pPr>
      <w:r w:rsidRPr="00887328">
        <w:rPr>
          <w:rFonts w:ascii="Arial" w:hAnsi="Arial" w:cs="Arial"/>
          <w:sz w:val="24"/>
          <w:szCs w:val="24"/>
          <w:lang w:val="es-MX"/>
        </w:rPr>
        <w:t xml:space="preserve">Los consumidores pueden obtener más información sobre sus opciones visitando </w:t>
      </w:r>
      <w:hyperlink r:id="rId8" w:history="1">
        <w:r w:rsidR="00C3224A" w:rsidRPr="000B4445">
          <w:rPr>
            <w:rStyle w:val="Hyperlink"/>
            <w:rFonts w:ascii="Arial" w:hAnsi="Arial" w:cs="Arial"/>
            <w:sz w:val="24"/>
            <w:szCs w:val="24"/>
            <w:lang w:val="es-MX"/>
          </w:rPr>
          <w:t>www.CoveredCA.com/espanol</w:t>
        </w:r>
      </w:hyperlink>
      <w:r w:rsidR="00C3224A">
        <w:rPr>
          <w:rFonts w:ascii="Arial" w:hAnsi="Arial" w:cs="Arial"/>
          <w:sz w:val="24"/>
          <w:szCs w:val="24"/>
          <w:lang w:val="es-MX"/>
        </w:rPr>
        <w:t>,</w:t>
      </w:r>
      <w:r w:rsidRPr="00887328">
        <w:rPr>
          <w:rFonts w:ascii="Arial" w:hAnsi="Arial" w:cs="Arial"/>
          <w:sz w:val="24"/>
          <w:szCs w:val="24"/>
          <w:lang w:val="es-MX"/>
        </w:rPr>
        <w:t xml:space="preserve"> donde pueden averiguar fácilmente si califican para recibir ayuda financiera y ver las opciones de cobertura disponibles en su área. Quienes estén interesados ​​en obtener más información sobre sus opciones de cobertura también pueden:</w:t>
      </w:r>
    </w:p>
    <w:p w14:paraId="7FD39E7A" w14:textId="77777777" w:rsidR="000D18CF" w:rsidRPr="00887328" w:rsidRDefault="000D18CF" w:rsidP="00B77249">
      <w:pPr>
        <w:spacing w:after="0"/>
        <w:rPr>
          <w:rFonts w:ascii="Arial" w:hAnsi="Arial" w:cs="Arial"/>
          <w:b/>
          <w:bCs/>
          <w:sz w:val="24"/>
          <w:szCs w:val="24"/>
          <w:lang w:val="es-MX"/>
        </w:rPr>
      </w:pPr>
    </w:p>
    <w:p w14:paraId="11BF41AD" w14:textId="4287DA35" w:rsidR="000D18CF" w:rsidRDefault="000D18CF"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Recib</w:t>
      </w:r>
      <w:r w:rsidR="00873045" w:rsidRPr="00866EE9">
        <w:rPr>
          <w:rFonts w:ascii="Arial" w:hAnsi="Arial" w:cs="Arial"/>
          <w:sz w:val="24"/>
          <w:szCs w:val="24"/>
          <w:lang w:val="es-MX"/>
        </w:rPr>
        <w:t>ir</w:t>
      </w:r>
      <w:r w:rsidRPr="00866EE9">
        <w:rPr>
          <w:rFonts w:ascii="Arial" w:hAnsi="Arial" w:cs="Arial"/>
          <w:sz w:val="24"/>
          <w:szCs w:val="24"/>
          <w:lang w:val="es-MX"/>
        </w:rPr>
        <w:t xml:space="preserve"> asistencia gratuita y confidencial por teléfono, en una variedad de idiomas, de parte de uno de los más de 14</w:t>
      </w:r>
      <w:r w:rsidR="00F72888" w:rsidRPr="00866EE9">
        <w:rPr>
          <w:rFonts w:ascii="Arial" w:hAnsi="Arial" w:cs="Arial"/>
          <w:sz w:val="24"/>
          <w:szCs w:val="24"/>
          <w:lang w:val="es-MX"/>
        </w:rPr>
        <w:t>,</w:t>
      </w:r>
      <w:r w:rsidRPr="00866EE9">
        <w:rPr>
          <w:rFonts w:ascii="Arial" w:hAnsi="Arial" w:cs="Arial"/>
          <w:sz w:val="24"/>
          <w:szCs w:val="24"/>
          <w:lang w:val="es-MX"/>
        </w:rPr>
        <w:t xml:space="preserve">000 agentes </w:t>
      </w:r>
      <w:r w:rsidR="00F72888" w:rsidRPr="00866EE9">
        <w:rPr>
          <w:rFonts w:ascii="Arial" w:hAnsi="Arial" w:cs="Arial"/>
          <w:sz w:val="24"/>
          <w:szCs w:val="24"/>
          <w:lang w:val="es-MX"/>
        </w:rPr>
        <w:t xml:space="preserve">de seguro </w:t>
      </w:r>
      <w:r w:rsidRPr="00866EE9">
        <w:rPr>
          <w:rFonts w:ascii="Arial" w:hAnsi="Arial" w:cs="Arial"/>
          <w:sz w:val="24"/>
          <w:szCs w:val="24"/>
          <w:lang w:val="es-MX"/>
        </w:rPr>
        <w:t>certificados y organizaciones comunitarias en todo el estado que brindan ayuda gratuita y confidencial en el idioma o dialecto que prefieran los consumidores.</w:t>
      </w:r>
    </w:p>
    <w:p w14:paraId="55E00105" w14:textId="3846CBA8" w:rsidR="00FC7621" w:rsidRDefault="00FC7621" w:rsidP="00FC7621">
      <w:pPr>
        <w:spacing w:after="0"/>
        <w:jc w:val="center"/>
        <w:rPr>
          <w:rFonts w:ascii="Arial" w:hAnsi="Arial" w:cs="Arial"/>
          <w:sz w:val="24"/>
          <w:szCs w:val="24"/>
          <w:lang w:val="es-MX"/>
        </w:rPr>
      </w:pPr>
      <w:r>
        <w:rPr>
          <w:rFonts w:ascii="Arial" w:hAnsi="Arial" w:cs="Arial"/>
          <w:sz w:val="24"/>
          <w:szCs w:val="24"/>
          <w:lang w:val="es-MX"/>
        </w:rPr>
        <w:t>(más)</w:t>
      </w:r>
    </w:p>
    <w:p w14:paraId="6775B00F" w14:textId="77777777" w:rsidR="00FC7621" w:rsidRPr="00FC7621" w:rsidRDefault="00FC7621" w:rsidP="00FC7621">
      <w:pPr>
        <w:spacing w:after="0"/>
        <w:rPr>
          <w:rFonts w:ascii="Arial" w:hAnsi="Arial" w:cs="Arial"/>
          <w:sz w:val="24"/>
          <w:szCs w:val="24"/>
          <w:lang w:val="es-MX"/>
        </w:rPr>
      </w:pPr>
    </w:p>
    <w:p w14:paraId="5B869D06" w14:textId="0E7573EC" w:rsidR="008C0BF2" w:rsidRPr="00866EE9" w:rsidRDefault="00F72888"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Pedirle</w:t>
      </w:r>
      <w:r w:rsidR="008C0BF2" w:rsidRPr="00866EE9">
        <w:rPr>
          <w:rFonts w:ascii="Arial" w:hAnsi="Arial" w:cs="Arial"/>
          <w:sz w:val="24"/>
          <w:szCs w:val="24"/>
          <w:lang w:val="es-MX"/>
        </w:rPr>
        <w:t xml:space="preserve"> a un agente de inscripción certificado que los </w:t>
      </w:r>
      <w:hyperlink r:id="rId9" w:history="1">
        <w:r w:rsidR="008C0BF2" w:rsidRPr="00866EE9">
          <w:rPr>
            <w:rStyle w:val="Hyperlink"/>
            <w:rFonts w:ascii="Arial" w:hAnsi="Arial" w:cs="Arial"/>
            <w:sz w:val="24"/>
            <w:szCs w:val="24"/>
            <w:lang w:val="es-MX"/>
          </w:rPr>
          <w:t>llame</w:t>
        </w:r>
      </w:hyperlink>
      <w:r w:rsidR="008C0BF2" w:rsidRPr="00866EE9">
        <w:rPr>
          <w:rFonts w:ascii="Arial" w:hAnsi="Arial" w:cs="Arial"/>
          <w:sz w:val="24"/>
          <w:szCs w:val="24"/>
          <w:lang w:val="es-MX"/>
        </w:rPr>
        <w:t xml:space="preserve"> y los ayude de forma gratuita.</w:t>
      </w:r>
    </w:p>
    <w:p w14:paraId="5034339F" w14:textId="2456053F" w:rsidR="00B82791" w:rsidRPr="00866EE9" w:rsidRDefault="005369B8"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Utili</w:t>
      </w:r>
      <w:r w:rsidR="00F72888" w:rsidRPr="00866EE9">
        <w:rPr>
          <w:rFonts w:ascii="Arial" w:hAnsi="Arial" w:cs="Arial"/>
          <w:sz w:val="24"/>
          <w:szCs w:val="24"/>
          <w:lang w:val="es-MX"/>
        </w:rPr>
        <w:t>zar</w:t>
      </w:r>
      <w:r w:rsidRPr="00866EE9">
        <w:rPr>
          <w:rFonts w:ascii="Arial" w:hAnsi="Arial" w:cs="Arial"/>
          <w:sz w:val="24"/>
          <w:szCs w:val="24"/>
          <w:lang w:val="es-MX"/>
        </w:rPr>
        <w:t xml:space="preserve"> la herramienta de cálculo en </w:t>
      </w:r>
      <w:hyperlink r:id="rId10" w:history="1">
        <w:r w:rsidRPr="009A4284">
          <w:rPr>
            <w:rStyle w:val="Hyperlink"/>
            <w:rFonts w:ascii="Arial" w:hAnsi="Arial" w:cs="Arial"/>
            <w:sz w:val="24"/>
            <w:szCs w:val="24"/>
            <w:lang w:val="es-MX"/>
          </w:rPr>
          <w:t>línea</w:t>
        </w:r>
      </w:hyperlink>
      <w:r w:rsidRPr="00866EE9">
        <w:rPr>
          <w:rFonts w:ascii="Arial" w:hAnsi="Arial" w:cs="Arial"/>
          <w:sz w:val="24"/>
          <w:szCs w:val="24"/>
          <w:lang w:val="es-MX"/>
        </w:rPr>
        <w:t xml:space="preserve"> de </w:t>
      </w:r>
      <w:proofErr w:type="spellStart"/>
      <w:r w:rsidRPr="00866EE9">
        <w:rPr>
          <w:rFonts w:ascii="Arial" w:hAnsi="Arial" w:cs="Arial"/>
          <w:sz w:val="24"/>
          <w:szCs w:val="24"/>
          <w:lang w:val="es-MX"/>
        </w:rPr>
        <w:t>Covered</w:t>
      </w:r>
      <w:proofErr w:type="spellEnd"/>
      <w:r w:rsidRPr="00866EE9">
        <w:rPr>
          <w:rFonts w:ascii="Arial" w:hAnsi="Arial" w:cs="Arial"/>
          <w:sz w:val="24"/>
          <w:szCs w:val="24"/>
          <w:lang w:val="es-MX"/>
        </w:rPr>
        <w:t xml:space="preserve"> California.</w:t>
      </w:r>
    </w:p>
    <w:p w14:paraId="63D0C411" w14:textId="7556569B" w:rsidR="002B40BA" w:rsidRPr="00866EE9" w:rsidRDefault="002B40BA"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Llam</w:t>
      </w:r>
      <w:r w:rsidR="00104E6C" w:rsidRPr="00866EE9">
        <w:rPr>
          <w:rFonts w:ascii="Arial" w:hAnsi="Arial" w:cs="Arial"/>
          <w:sz w:val="24"/>
          <w:szCs w:val="24"/>
          <w:lang w:val="es-MX"/>
        </w:rPr>
        <w:t>ar</w:t>
      </w:r>
      <w:r w:rsidRPr="00866EE9">
        <w:rPr>
          <w:rFonts w:ascii="Arial" w:hAnsi="Arial" w:cs="Arial"/>
          <w:sz w:val="24"/>
          <w:szCs w:val="24"/>
          <w:lang w:val="es-MX"/>
        </w:rPr>
        <w:t xml:space="preserve"> a </w:t>
      </w:r>
      <w:proofErr w:type="spellStart"/>
      <w:r w:rsidRPr="00866EE9">
        <w:rPr>
          <w:rFonts w:ascii="Arial" w:hAnsi="Arial" w:cs="Arial"/>
          <w:sz w:val="24"/>
          <w:szCs w:val="24"/>
          <w:lang w:val="es-MX"/>
        </w:rPr>
        <w:t>Covered</w:t>
      </w:r>
      <w:proofErr w:type="spellEnd"/>
      <w:r w:rsidRPr="00866EE9">
        <w:rPr>
          <w:rFonts w:ascii="Arial" w:hAnsi="Arial" w:cs="Arial"/>
          <w:sz w:val="24"/>
          <w:szCs w:val="24"/>
          <w:lang w:val="es-MX"/>
        </w:rPr>
        <w:t xml:space="preserve"> California al (800) 300-</w:t>
      </w:r>
      <w:r w:rsidR="00104E6C" w:rsidRPr="00866EE9">
        <w:rPr>
          <w:rFonts w:ascii="Arial" w:hAnsi="Arial" w:cs="Arial"/>
          <w:sz w:val="24"/>
          <w:szCs w:val="24"/>
          <w:lang w:val="es-MX"/>
        </w:rPr>
        <w:t>0213</w:t>
      </w:r>
      <w:r w:rsidRPr="00866EE9">
        <w:rPr>
          <w:rFonts w:ascii="Arial" w:hAnsi="Arial" w:cs="Arial"/>
          <w:sz w:val="24"/>
          <w:szCs w:val="24"/>
          <w:lang w:val="es-MX"/>
        </w:rPr>
        <w:t>.</w:t>
      </w:r>
    </w:p>
    <w:p w14:paraId="0ED6750D" w14:textId="77777777" w:rsidR="007F3AC9" w:rsidRPr="00887328" w:rsidRDefault="007F3AC9" w:rsidP="00B77249">
      <w:pPr>
        <w:spacing w:after="0"/>
        <w:rPr>
          <w:rFonts w:ascii="Arial" w:hAnsi="Arial" w:cs="Arial"/>
          <w:sz w:val="24"/>
          <w:szCs w:val="24"/>
          <w:lang w:val="es-MX"/>
        </w:rPr>
      </w:pPr>
    </w:p>
    <w:p w14:paraId="1A6FCB0B" w14:textId="77777777" w:rsidR="0081376B" w:rsidRPr="00887328" w:rsidRDefault="0081376B" w:rsidP="00F3686D">
      <w:pPr>
        <w:rPr>
          <w:rFonts w:ascii="Arial" w:hAnsi="Arial" w:cs="Arial"/>
          <w:sz w:val="24"/>
          <w:szCs w:val="24"/>
          <w:lang w:val="es-MX"/>
        </w:rPr>
      </w:pPr>
    </w:p>
    <w:p w14:paraId="7E8DDC50" w14:textId="0D8C78F6" w:rsidR="00F3686D" w:rsidRPr="00887328" w:rsidRDefault="00F3686D" w:rsidP="00F3686D">
      <w:pPr>
        <w:rPr>
          <w:rFonts w:ascii="Arial" w:hAnsi="Arial" w:cs="Arial"/>
          <w:sz w:val="24"/>
          <w:szCs w:val="24"/>
          <w:lang w:val="es-MX"/>
        </w:rPr>
      </w:pPr>
      <w:r w:rsidRPr="00887328">
        <w:rPr>
          <w:rFonts w:ascii="Arial" w:hAnsi="Arial" w:cs="Arial"/>
          <w:b/>
          <w:bCs/>
          <w:sz w:val="24"/>
          <w:szCs w:val="24"/>
          <w:lang w:val="es-MX"/>
        </w:rPr>
        <w:t xml:space="preserve">Acerca de </w:t>
      </w:r>
      <w:proofErr w:type="spellStart"/>
      <w:r w:rsidRPr="00887328">
        <w:rPr>
          <w:rFonts w:ascii="Arial" w:hAnsi="Arial" w:cs="Arial"/>
          <w:b/>
          <w:bCs/>
          <w:sz w:val="24"/>
          <w:szCs w:val="24"/>
          <w:lang w:val="es-MX"/>
        </w:rPr>
        <w:t>Covered</w:t>
      </w:r>
      <w:proofErr w:type="spellEnd"/>
      <w:r w:rsidRPr="00887328">
        <w:rPr>
          <w:rFonts w:ascii="Arial" w:hAnsi="Arial" w:cs="Arial"/>
          <w:b/>
          <w:bCs/>
          <w:sz w:val="24"/>
          <w:szCs w:val="24"/>
          <w:lang w:val="es-MX"/>
        </w:rPr>
        <w:t xml:space="preserve"> California</w:t>
      </w:r>
    </w:p>
    <w:p w14:paraId="21FB279C" w14:textId="2D67BE23" w:rsidR="00A01857" w:rsidRPr="00887328" w:rsidRDefault="00F3686D" w:rsidP="00F3686D">
      <w:pPr>
        <w:rPr>
          <w:rFonts w:ascii="Arial" w:hAnsi="Arial" w:cs="Arial"/>
          <w:sz w:val="24"/>
          <w:szCs w:val="24"/>
          <w:lang w:val="es-MX"/>
        </w:rPr>
      </w:pP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es el Mercado de </w:t>
      </w:r>
      <w:r w:rsidR="005F6BC2" w:rsidRPr="00887328">
        <w:rPr>
          <w:rFonts w:ascii="Arial" w:hAnsi="Arial" w:cs="Arial"/>
          <w:sz w:val="24"/>
          <w:szCs w:val="24"/>
          <w:lang w:val="es-MX"/>
        </w:rPr>
        <w:t>S</w:t>
      </w:r>
      <w:r w:rsidRPr="00887328">
        <w:rPr>
          <w:rFonts w:ascii="Arial" w:hAnsi="Arial" w:cs="Arial"/>
          <w:sz w:val="24"/>
          <w:szCs w:val="24"/>
          <w:lang w:val="es-MX"/>
        </w:rPr>
        <w:t xml:space="preserve">eguros de </w:t>
      </w:r>
      <w:r w:rsidR="005F6BC2" w:rsidRPr="00887328">
        <w:rPr>
          <w:rFonts w:ascii="Arial" w:hAnsi="Arial" w:cs="Arial"/>
          <w:sz w:val="24"/>
          <w:szCs w:val="24"/>
          <w:lang w:val="es-MX"/>
        </w:rPr>
        <w:t>S</w:t>
      </w:r>
      <w:r w:rsidRPr="00887328">
        <w:rPr>
          <w:rFonts w:ascii="Arial" w:hAnsi="Arial" w:cs="Arial"/>
          <w:sz w:val="24"/>
          <w:szCs w:val="24"/>
          <w:lang w:val="es-MX"/>
        </w:rPr>
        <w:t xml:space="preserve">alud del estado, donde los californianos pueden encontrar seguros asequibles y de alta calidad de las principales compañías de seguros. </w:t>
      </w: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es el único lugar donde las personas que califican pueden obtener </w:t>
      </w:r>
      <w:r w:rsidR="005F6BC2" w:rsidRPr="00887328">
        <w:rPr>
          <w:rFonts w:ascii="Arial" w:hAnsi="Arial" w:cs="Arial"/>
          <w:sz w:val="24"/>
          <w:szCs w:val="24"/>
          <w:lang w:val="es-MX"/>
        </w:rPr>
        <w:t>ayuda</w:t>
      </w:r>
      <w:r w:rsidRPr="00887328">
        <w:rPr>
          <w:rFonts w:ascii="Arial" w:hAnsi="Arial" w:cs="Arial"/>
          <w:sz w:val="24"/>
          <w:szCs w:val="24"/>
          <w:lang w:val="es-MX"/>
        </w:rPr>
        <w:t xml:space="preserve"> financiera en una escala móvil para reducir los costos de </w:t>
      </w:r>
      <w:r w:rsidR="005F6BC2" w:rsidRPr="00887328">
        <w:rPr>
          <w:rFonts w:ascii="Arial" w:hAnsi="Arial" w:cs="Arial"/>
          <w:sz w:val="24"/>
          <w:szCs w:val="24"/>
          <w:lang w:val="es-MX"/>
        </w:rPr>
        <w:t>los pagos mensuales</w:t>
      </w:r>
      <w:r w:rsidRPr="00887328">
        <w:rPr>
          <w:rFonts w:ascii="Arial" w:hAnsi="Arial" w:cs="Arial"/>
          <w:sz w:val="24"/>
          <w:szCs w:val="24"/>
          <w:lang w:val="es-MX"/>
        </w:rPr>
        <w:t>. L</w:t>
      </w:r>
      <w:r w:rsidR="005F6BC2" w:rsidRPr="00887328">
        <w:rPr>
          <w:rFonts w:ascii="Arial" w:hAnsi="Arial" w:cs="Arial"/>
          <w:sz w:val="24"/>
          <w:szCs w:val="24"/>
          <w:lang w:val="es-MX"/>
        </w:rPr>
        <w:t xml:space="preserve">as personas inscritas </w:t>
      </w:r>
      <w:r w:rsidRPr="00887328">
        <w:rPr>
          <w:rFonts w:ascii="Arial" w:hAnsi="Arial" w:cs="Arial"/>
          <w:sz w:val="24"/>
          <w:szCs w:val="24"/>
          <w:lang w:val="es-MX"/>
        </w:rPr>
        <w:t xml:space="preserve">pueden comparar planes de </w:t>
      </w:r>
      <w:r w:rsidR="005F6BC2" w:rsidRPr="00887328">
        <w:rPr>
          <w:rFonts w:ascii="Arial" w:hAnsi="Arial" w:cs="Arial"/>
          <w:sz w:val="24"/>
          <w:szCs w:val="24"/>
          <w:lang w:val="es-MX"/>
        </w:rPr>
        <w:t>s</w:t>
      </w:r>
      <w:r w:rsidRPr="00887328">
        <w:rPr>
          <w:rFonts w:ascii="Arial" w:hAnsi="Arial" w:cs="Arial"/>
          <w:sz w:val="24"/>
          <w:szCs w:val="24"/>
          <w:lang w:val="es-MX"/>
        </w:rPr>
        <w:t>eguro de salud y elegir el plan que mejor se adapte a sus necesidades</w:t>
      </w:r>
      <w:r w:rsidR="005F6BC2" w:rsidRPr="00887328">
        <w:rPr>
          <w:rFonts w:ascii="Arial" w:hAnsi="Arial" w:cs="Arial"/>
          <w:sz w:val="24"/>
          <w:szCs w:val="24"/>
          <w:lang w:val="es-MX"/>
        </w:rPr>
        <w:t xml:space="preserve"> </w:t>
      </w:r>
      <w:r w:rsidRPr="00887328">
        <w:rPr>
          <w:rFonts w:ascii="Arial" w:hAnsi="Arial" w:cs="Arial"/>
          <w:sz w:val="24"/>
          <w:szCs w:val="24"/>
          <w:lang w:val="es-MX"/>
        </w:rPr>
        <w:t>y presupuesto.</w:t>
      </w:r>
      <w:r w:rsidR="00AF4A69">
        <w:rPr>
          <w:rFonts w:ascii="Arial" w:hAnsi="Arial" w:cs="Arial"/>
          <w:sz w:val="24"/>
          <w:szCs w:val="24"/>
          <w:lang w:val="es-MX"/>
        </w:rPr>
        <w:t xml:space="preserve"> </w:t>
      </w:r>
      <w:r w:rsidRPr="00887328">
        <w:rPr>
          <w:rFonts w:ascii="Arial" w:hAnsi="Arial" w:cs="Arial"/>
          <w:sz w:val="24"/>
          <w:szCs w:val="24"/>
          <w:lang w:val="es-MX"/>
        </w:rPr>
        <w:t xml:space="preserve">Dependiendo de </w:t>
      </w:r>
      <w:r w:rsidR="00AF4A69">
        <w:rPr>
          <w:rFonts w:ascii="Arial" w:hAnsi="Arial" w:cs="Arial"/>
          <w:sz w:val="24"/>
          <w:szCs w:val="24"/>
          <w:lang w:val="es-MX"/>
        </w:rPr>
        <w:t>s</w:t>
      </w:r>
      <w:r w:rsidRPr="00887328">
        <w:rPr>
          <w:rFonts w:ascii="Arial" w:hAnsi="Arial" w:cs="Arial"/>
          <w:sz w:val="24"/>
          <w:szCs w:val="24"/>
          <w:lang w:val="es-MX"/>
        </w:rPr>
        <w:t>us ingresos, algun</w:t>
      </w:r>
      <w:r w:rsidR="005F6BC2" w:rsidRPr="00887328">
        <w:rPr>
          <w:rFonts w:ascii="Arial" w:hAnsi="Arial" w:cs="Arial"/>
          <w:sz w:val="24"/>
          <w:szCs w:val="24"/>
          <w:lang w:val="es-MX"/>
        </w:rPr>
        <w:t xml:space="preserve">as personas inscritas </w:t>
      </w:r>
      <w:r w:rsidRPr="00887328">
        <w:rPr>
          <w:rFonts w:ascii="Arial" w:hAnsi="Arial" w:cs="Arial"/>
          <w:sz w:val="24"/>
          <w:szCs w:val="24"/>
          <w:lang w:val="es-MX"/>
        </w:rPr>
        <w:t>pueden calificar para el programa Medi-Cal de bajo costo o sin costo.</w:t>
      </w:r>
    </w:p>
    <w:p w14:paraId="62EBC574" w14:textId="29478485" w:rsidR="00F3686D" w:rsidRPr="00887328" w:rsidRDefault="00F3686D" w:rsidP="00F3686D">
      <w:pPr>
        <w:rPr>
          <w:rFonts w:ascii="Arial" w:hAnsi="Arial" w:cs="Arial"/>
          <w:sz w:val="24"/>
          <w:szCs w:val="24"/>
          <w:lang w:val="es-MX"/>
        </w:rPr>
      </w:pP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es una parte independiente del gobierno estatal cuyo trabajo es hacer que el </w:t>
      </w:r>
      <w:r w:rsidR="005F6BC2" w:rsidRPr="00887328">
        <w:rPr>
          <w:rFonts w:ascii="Arial" w:hAnsi="Arial" w:cs="Arial"/>
          <w:sz w:val="24"/>
          <w:szCs w:val="24"/>
          <w:lang w:val="es-MX"/>
        </w:rPr>
        <w:t>M</w:t>
      </w:r>
      <w:r w:rsidRPr="00887328">
        <w:rPr>
          <w:rFonts w:ascii="Arial" w:hAnsi="Arial" w:cs="Arial"/>
          <w:sz w:val="24"/>
          <w:szCs w:val="24"/>
          <w:lang w:val="es-MX"/>
        </w:rPr>
        <w:t xml:space="preserve">ercado de </w:t>
      </w:r>
      <w:r w:rsidR="005F6BC2" w:rsidRPr="00887328">
        <w:rPr>
          <w:rFonts w:ascii="Arial" w:hAnsi="Arial" w:cs="Arial"/>
          <w:sz w:val="24"/>
          <w:szCs w:val="24"/>
          <w:lang w:val="es-MX"/>
        </w:rPr>
        <w:t>S</w:t>
      </w:r>
      <w:r w:rsidRPr="00887328">
        <w:rPr>
          <w:rFonts w:ascii="Arial" w:hAnsi="Arial" w:cs="Arial"/>
          <w:sz w:val="24"/>
          <w:szCs w:val="24"/>
          <w:lang w:val="es-MX"/>
        </w:rPr>
        <w:t xml:space="preserve">eguros de </w:t>
      </w:r>
      <w:r w:rsidR="005F6BC2" w:rsidRPr="00887328">
        <w:rPr>
          <w:rFonts w:ascii="Arial" w:hAnsi="Arial" w:cs="Arial"/>
          <w:sz w:val="24"/>
          <w:szCs w:val="24"/>
          <w:lang w:val="es-MX"/>
        </w:rPr>
        <w:t>S</w:t>
      </w:r>
      <w:r w:rsidRPr="00887328">
        <w:rPr>
          <w:rFonts w:ascii="Arial" w:hAnsi="Arial" w:cs="Arial"/>
          <w:sz w:val="24"/>
          <w:szCs w:val="24"/>
          <w:lang w:val="es-MX"/>
        </w:rPr>
        <w:t xml:space="preserve">alud funcione para los consumidores de California. Está supervisado por una junta de cinco miembros nombrados por el gobernador y la Legislatura. Para obtener más información sobre </w:t>
      </w: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visita </w:t>
      </w:r>
      <w:hyperlink r:id="rId11" w:tgtFrame="_blank" w:history="1">
        <w:r w:rsidRPr="00887328">
          <w:rPr>
            <w:rStyle w:val="Hyperlink"/>
            <w:rFonts w:ascii="Arial" w:hAnsi="Arial" w:cs="Arial"/>
            <w:sz w:val="24"/>
            <w:szCs w:val="24"/>
            <w:lang w:val="es-MX"/>
          </w:rPr>
          <w:t>www.CoveredCA.com/espanol</w:t>
        </w:r>
      </w:hyperlink>
    </w:p>
    <w:p w14:paraId="0A02D081" w14:textId="77777777" w:rsidR="00F3686D" w:rsidRPr="00887328" w:rsidRDefault="00F3686D" w:rsidP="00F3686D">
      <w:pPr>
        <w:jc w:val="center"/>
        <w:rPr>
          <w:rFonts w:ascii="Arial" w:hAnsi="Arial" w:cs="Arial"/>
          <w:sz w:val="24"/>
          <w:szCs w:val="24"/>
        </w:rPr>
      </w:pPr>
      <w:r w:rsidRPr="00887328">
        <w:rPr>
          <w:rFonts w:ascii="Arial" w:hAnsi="Arial" w:cs="Arial"/>
          <w:sz w:val="24"/>
          <w:szCs w:val="24"/>
          <w:u w:val="single"/>
          <w:lang w:val="es-MX"/>
        </w:rPr>
        <w:t>###</w:t>
      </w:r>
    </w:p>
    <w:p w14:paraId="2905A4C7" w14:textId="77777777" w:rsidR="00F3686D" w:rsidRPr="00F3686D" w:rsidRDefault="00F3686D" w:rsidP="00F3686D">
      <w:pPr>
        <w:rPr>
          <w:rFonts w:ascii="Arial" w:hAnsi="Arial" w:cs="Arial"/>
          <w:sz w:val="24"/>
          <w:szCs w:val="24"/>
        </w:rPr>
      </w:pPr>
    </w:p>
    <w:p w14:paraId="588F3DCF" w14:textId="77777777" w:rsidR="00A31F16" w:rsidRPr="00A31F16" w:rsidRDefault="00A31F16" w:rsidP="00A31F16">
      <w:pPr>
        <w:rPr>
          <w:rFonts w:ascii="Arial" w:hAnsi="Arial" w:cs="Arial"/>
          <w:sz w:val="24"/>
          <w:szCs w:val="24"/>
          <w:lang w:val="es-MX"/>
        </w:rPr>
      </w:pPr>
    </w:p>
    <w:p w14:paraId="0A430E09" w14:textId="77777777" w:rsidR="00880B72" w:rsidRPr="00880B72" w:rsidRDefault="00880B72" w:rsidP="00880B72">
      <w:pPr>
        <w:rPr>
          <w:lang w:val="es-MX"/>
        </w:rPr>
      </w:pPr>
    </w:p>
    <w:sectPr w:rsidR="00880B72" w:rsidRPr="00880B7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8312" w14:textId="77777777" w:rsidR="008E1CED" w:rsidRDefault="008E1CED" w:rsidP="00F24DE1">
      <w:pPr>
        <w:spacing w:after="0"/>
      </w:pPr>
      <w:r>
        <w:separator/>
      </w:r>
    </w:p>
  </w:endnote>
  <w:endnote w:type="continuationSeparator" w:id="0">
    <w:p w14:paraId="6EF693AA" w14:textId="77777777" w:rsidR="008E1CED" w:rsidRDefault="008E1CED" w:rsidP="00F24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3B7" w14:textId="77777777" w:rsidR="00F24DE1" w:rsidRDefault="00F24DE1">
    <w:pPr>
      <w:pStyle w:val="Footer"/>
    </w:pPr>
    <w:r>
      <w:rPr>
        <w:noProof/>
      </w:rPr>
      <w:drawing>
        <wp:inline distT="0" distB="0" distL="0" distR="0" wp14:anchorId="24B30558" wp14:editId="02E0B845">
          <wp:extent cx="5943600" cy="235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for Press Releas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235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CDC9" w14:textId="77777777" w:rsidR="008E1CED" w:rsidRDefault="008E1CED" w:rsidP="00F24DE1">
      <w:pPr>
        <w:spacing w:after="0"/>
      </w:pPr>
      <w:r>
        <w:separator/>
      </w:r>
    </w:p>
  </w:footnote>
  <w:footnote w:type="continuationSeparator" w:id="0">
    <w:p w14:paraId="6866F7C1" w14:textId="77777777" w:rsidR="008E1CED" w:rsidRDefault="008E1CED" w:rsidP="00F24D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43A"/>
    <w:multiLevelType w:val="hybridMultilevel"/>
    <w:tmpl w:val="399A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A580C"/>
    <w:multiLevelType w:val="hybridMultilevel"/>
    <w:tmpl w:val="2FC0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958B1"/>
    <w:multiLevelType w:val="hybridMultilevel"/>
    <w:tmpl w:val="8236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866C1"/>
    <w:multiLevelType w:val="hybridMultilevel"/>
    <w:tmpl w:val="AB42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37CCD"/>
    <w:multiLevelType w:val="hybridMultilevel"/>
    <w:tmpl w:val="4F9A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733B2"/>
    <w:multiLevelType w:val="hybridMultilevel"/>
    <w:tmpl w:val="EE48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E5597"/>
    <w:multiLevelType w:val="hybridMultilevel"/>
    <w:tmpl w:val="989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36945"/>
    <w:multiLevelType w:val="hybridMultilevel"/>
    <w:tmpl w:val="99CE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57626"/>
    <w:multiLevelType w:val="multilevel"/>
    <w:tmpl w:val="A63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028035">
    <w:abstractNumId w:val="2"/>
  </w:num>
  <w:num w:numId="2" w16cid:durableId="1940260809">
    <w:abstractNumId w:val="7"/>
  </w:num>
  <w:num w:numId="3" w16cid:durableId="2100977327">
    <w:abstractNumId w:val="1"/>
  </w:num>
  <w:num w:numId="4" w16cid:durableId="1857109794">
    <w:abstractNumId w:val="3"/>
  </w:num>
  <w:num w:numId="5" w16cid:durableId="606304975">
    <w:abstractNumId w:val="5"/>
  </w:num>
  <w:num w:numId="6" w16cid:durableId="122777046">
    <w:abstractNumId w:val="8"/>
  </w:num>
  <w:num w:numId="7" w16cid:durableId="994795177">
    <w:abstractNumId w:val="4"/>
  </w:num>
  <w:num w:numId="8" w16cid:durableId="593049489">
    <w:abstractNumId w:val="6"/>
  </w:num>
  <w:num w:numId="9" w16cid:durableId="213104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FD"/>
    <w:rsid w:val="00015D63"/>
    <w:rsid w:val="00025988"/>
    <w:rsid w:val="0002735E"/>
    <w:rsid w:val="0004775A"/>
    <w:rsid w:val="00061642"/>
    <w:rsid w:val="00066C4A"/>
    <w:rsid w:val="00096CC1"/>
    <w:rsid w:val="000B5511"/>
    <w:rsid w:val="000C19FB"/>
    <w:rsid w:val="000D18CF"/>
    <w:rsid w:val="000D2E2A"/>
    <w:rsid w:val="000D7ABE"/>
    <w:rsid w:val="000E3981"/>
    <w:rsid w:val="000F0BE7"/>
    <w:rsid w:val="0010098B"/>
    <w:rsid w:val="00104E6C"/>
    <w:rsid w:val="0011218B"/>
    <w:rsid w:val="00117FCB"/>
    <w:rsid w:val="00125AD8"/>
    <w:rsid w:val="00142BBF"/>
    <w:rsid w:val="001467E6"/>
    <w:rsid w:val="001858FC"/>
    <w:rsid w:val="001A4CEC"/>
    <w:rsid w:val="001B034D"/>
    <w:rsid w:val="001B2615"/>
    <w:rsid w:val="001D70AD"/>
    <w:rsid w:val="001D7968"/>
    <w:rsid w:val="001E77AC"/>
    <w:rsid w:val="001F0BC1"/>
    <w:rsid w:val="001F488C"/>
    <w:rsid w:val="002163FC"/>
    <w:rsid w:val="00224603"/>
    <w:rsid w:val="00235EC9"/>
    <w:rsid w:val="002427D8"/>
    <w:rsid w:val="00247DD8"/>
    <w:rsid w:val="0025646C"/>
    <w:rsid w:val="0026538A"/>
    <w:rsid w:val="00277D11"/>
    <w:rsid w:val="002823E8"/>
    <w:rsid w:val="00295584"/>
    <w:rsid w:val="002A1F46"/>
    <w:rsid w:val="002B40BA"/>
    <w:rsid w:val="002C0190"/>
    <w:rsid w:val="003522D5"/>
    <w:rsid w:val="00356490"/>
    <w:rsid w:val="00362DCD"/>
    <w:rsid w:val="00362FE2"/>
    <w:rsid w:val="00366A9F"/>
    <w:rsid w:val="00370F9C"/>
    <w:rsid w:val="00376D42"/>
    <w:rsid w:val="003B0D6A"/>
    <w:rsid w:val="003C1EE9"/>
    <w:rsid w:val="003C271E"/>
    <w:rsid w:val="003E1276"/>
    <w:rsid w:val="003E40B1"/>
    <w:rsid w:val="003E5E66"/>
    <w:rsid w:val="003F2324"/>
    <w:rsid w:val="0040651D"/>
    <w:rsid w:val="00413964"/>
    <w:rsid w:val="004201AE"/>
    <w:rsid w:val="00420666"/>
    <w:rsid w:val="00422CCB"/>
    <w:rsid w:val="004266BD"/>
    <w:rsid w:val="0043775B"/>
    <w:rsid w:val="00444836"/>
    <w:rsid w:val="004A37C6"/>
    <w:rsid w:val="004B0C6A"/>
    <w:rsid w:val="004B0D77"/>
    <w:rsid w:val="004C4527"/>
    <w:rsid w:val="004F511C"/>
    <w:rsid w:val="0051688E"/>
    <w:rsid w:val="00532F2C"/>
    <w:rsid w:val="005369B8"/>
    <w:rsid w:val="005500BF"/>
    <w:rsid w:val="00550CE9"/>
    <w:rsid w:val="00555C8E"/>
    <w:rsid w:val="005639AE"/>
    <w:rsid w:val="00567D53"/>
    <w:rsid w:val="005C31F5"/>
    <w:rsid w:val="005C54F9"/>
    <w:rsid w:val="005C71A3"/>
    <w:rsid w:val="005E66B4"/>
    <w:rsid w:val="005F6BC2"/>
    <w:rsid w:val="00607D6A"/>
    <w:rsid w:val="006127B5"/>
    <w:rsid w:val="00614676"/>
    <w:rsid w:val="00633016"/>
    <w:rsid w:val="0064034B"/>
    <w:rsid w:val="00644C33"/>
    <w:rsid w:val="00650AB0"/>
    <w:rsid w:val="006613DE"/>
    <w:rsid w:val="00662E45"/>
    <w:rsid w:val="006740FD"/>
    <w:rsid w:val="006769BD"/>
    <w:rsid w:val="00681BF9"/>
    <w:rsid w:val="00683BFD"/>
    <w:rsid w:val="00684345"/>
    <w:rsid w:val="006A4B66"/>
    <w:rsid w:val="006A545A"/>
    <w:rsid w:val="006B3DDC"/>
    <w:rsid w:val="006B7D52"/>
    <w:rsid w:val="006D134F"/>
    <w:rsid w:val="006F6EB0"/>
    <w:rsid w:val="0070403D"/>
    <w:rsid w:val="007235AC"/>
    <w:rsid w:val="00725B16"/>
    <w:rsid w:val="00736D35"/>
    <w:rsid w:val="00746897"/>
    <w:rsid w:val="00767A77"/>
    <w:rsid w:val="007705B5"/>
    <w:rsid w:val="007754D1"/>
    <w:rsid w:val="00777F11"/>
    <w:rsid w:val="007846D3"/>
    <w:rsid w:val="007A1D4A"/>
    <w:rsid w:val="007A602B"/>
    <w:rsid w:val="007B6036"/>
    <w:rsid w:val="007D5701"/>
    <w:rsid w:val="007E0E20"/>
    <w:rsid w:val="007E53C5"/>
    <w:rsid w:val="007E621C"/>
    <w:rsid w:val="007F3AC9"/>
    <w:rsid w:val="0080700B"/>
    <w:rsid w:val="0081376B"/>
    <w:rsid w:val="008307B3"/>
    <w:rsid w:val="00834C40"/>
    <w:rsid w:val="00846572"/>
    <w:rsid w:val="008532F6"/>
    <w:rsid w:val="00856761"/>
    <w:rsid w:val="00861A82"/>
    <w:rsid w:val="00862EBA"/>
    <w:rsid w:val="00866EE9"/>
    <w:rsid w:val="00873045"/>
    <w:rsid w:val="008755CE"/>
    <w:rsid w:val="00880B72"/>
    <w:rsid w:val="00887328"/>
    <w:rsid w:val="008A1018"/>
    <w:rsid w:val="008B2B24"/>
    <w:rsid w:val="008C0BF2"/>
    <w:rsid w:val="008C447F"/>
    <w:rsid w:val="008E1CED"/>
    <w:rsid w:val="008F1B8D"/>
    <w:rsid w:val="00912D41"/>
    <w:rsid w:val="00921D30"/>
    <w:rsid w:val="0093388F"/>
    <w:rsid w:val="00933BEE"/>
    <w:rsid w:val="009408B1"/>
    <w:rsid w:val="00962E79"/>
    <w:rsid w:val="0097177E"/>
    <w:rsid w:val="009776D1"/>
    <w:rsid w:val="009A4284"/>
    <w:rsid w:val="009C3271"/>
    <w:rsid w:val="009C4312"/>
    <w:rsid w:val="009D2EDF"/>
    <w:rsid w:val="009D340D"/>
    <w:rsid w:val="009D3857"/>
    <w:rsid w:val="009E2492"/>
    <w:rsid w:val="009F2291"/>
    <w:rsid w:val="00A01857"/>
    <w:rsid w:val="00A11C8B"/>
    <w:rsid w:val="00A21939"/>
    <w:rsid w:val="00A25CED"/>
    <w:rsid w:val="00A31F16"/>
    <w:rsid w:val="00A357B9"/>
    <w:rsid w:val="00A549D8"/>
    <w:rsid w:val="00A73153"/>
    <w:rsid w:val="00A84BAA"/>
    <w:rsid w:val="00A9304F"/>
    <w:rsid w:val="00AA1CB0"/>
    <w:rsid w:val="00AA4AFB"/>
    <w:rsid w:val="00AB59B4"/>
    <w:rsid w:val="00AD5302"/>
    <w:rsid w:val="00AF4A69"/>
    <w:rsid w:val="00AF5CBD"/>
    <w:rsid w:val="00B118F7"/>
    <w:rsid w:val="00B22246"/>
    <w:rsid w:val="00B26BFA"/>
    <w:rsid w:val="00B3777C"/>
    <w:rsid w:val="00B43013"/>
    <w:rsid w:val="00B51DB7"/>
    <w:rsid w:val="00B6053B"/>
    <w:rsid w:val="00B6272A"/>
    <w:rsid w:val="00B63A7A"/>
    <w:rsid w:val="00B77249"/>
    <w:rsid w:val="00B82791"/>
    <w:rsid w:val="00B90520"/>
    <w:rsid w:val="00B90A32"/>
    <w:rsid w:val="00B912C6"/>
    <w:rsid w:val="00B96EA0"/>
    <w:rsid w:val="00BB4FB4"/>
    <w:rsid w:val="00BB52FC"/>
    <w:rsid w:val="00BC417B"/>
    <w:rsid w:val="00BD6B35"/>
    <w:rsid w:val="00BE084D"/>
    <w:rsid w:val="00C01BF6"/>
    <w:rsid w:val="00C16C57"/>
    <w:rsid w:val="00C223FD"/>
    <w:rsid w:val="00C2752E"/>
    <w:rsid w:val="00C31822"/>
    <w:rsid w:val="00C3224A"/>
    <w:rsid w:val="00C60874"/>
    <w:rsid w:val="00C81A35"/>
    <w:rsid w:val="00C867B1"/>
    <w:rsid w:val="00C949C6"/>
    <w:rsid w:val="00CF3235"/>
    <w:rsid w:val="00D16C41"/>
    <w:rsid w:val="00D23E0C"/>
    <w:rsid w:val="00D240C2"/>
    <w:rsid w:val="00D4032C"/>
    <w:rsid w:val="00D56B82"/>
    <w:rsid w:val="00D62464"/>
    <w:rsid w:val="00D805D8"/>
    <w:rsid w:val="00D86F80"/>
    <w:rsid w:val="00D90C4B"/>
    <w:rsid w:val="00D91919"/>
    <w:rsid w:val="00D9351C"/>
    <w:rsid w:val="00DB2842"/>
    <w:rsid w:val="00DB43B1"/>
    <w:rsid w:val="00DE7330"/>
    <w:rsid w:val="00DF285D"/>
    <w:rsid w:val="00E43293"/>
    <w:rsid w:val="00E44B22"/>
    <w:rsid w:val="00E511F5"/>
    <w:rsid w:val="00E51601"/>
    <w:rsid w:val="00E63592"/>
    <w:rsid w:val="00E65F69"/>
    <w:rsid w:val="00E76448"/>
    <w:rsid w:val="00E93A30"/>
    <w:rsid w:val="00E972EC"/>
    <w:rsid w:val="00EA21C4"/>
    <w:rsid w:val="00EA7CA6"/>
    <w:rsid w:val="00EB2671"/>
    <w:rsid w:val="00EB7558"/>
    <w:rsid w:val="00ED12CF"/>
    <w:rsid w:val="00ED6477"/>
    <w:rsid w:val="00EE3542"/>
    <w:rsid w:val="00EE4236"/>
    <w:rsid w:val="00EF254A"/>
    <w:rsid w:val="00F1589E"/>
    <w:rsid w:val="00F24DE1"/>
    <w:rsid w:val="00F3686D"/>
    <w:rsid w:val="00F46A32"/>
    <w:rsid w:val="00F51571"/>
    <w:rsid w:val="00F51CC4"/>
    <w:rsid w:val="00F72888"/>
    <w:rsid w:val="00F72E40"/>
    <w:rsid w:val="00F75476"/>
    <w:rsid w:val="00F80AC2"/>
    <w:rsid w:val="00F96300"/>
    <w:rsid w:val="00F97D27"/>
    <w:rsid w:val="00FC20B2"/>
    <w:rsid w:val="00FC7621"/>
    <w:rsid w:val="00FD1D11"/>
    <w:rsid w:val="00FD7AF6"/>
    <w:rsid w:val="00FE4456"/>
    <w:rsid w:val="00FF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F7CCF"/>
  <w15:chartTrackingRefBased/>
  <w15:docId w15:val="{9E99BD29-3733-4F59-9343-43FF69FD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0FD"/>
    <w:pPr>
      <w:ind w:left="720"/>
      <w:contextualSpacing/>
    </w:pPr>
  </w:style>
  <w:style w:type="character" w:styleId="PlaceholderText">
    <w:name w:val="Placeholder Text"/>
    <w:basedOn w:val="DefaultParagraphFont"/>
    <w:uiPriority w:val="99"/>
    <w:semiHidden/>
    <w:rsid w:val="00633016"/>
    <w:rPr>
      <w:color w:val="808080"/>
    </w:rPr>
  </w:style>
  <w:style w:type="character" w:styleId="Hyperlink">
    <w:name w:val="Hyperlink"/>
    <w:basedOn w:val="DefaultParagraphFont"/>
    <w:uiPriority w:val="99"/>
    <w:unhideWhenUsed/>
    <w:rsid w:val="003C271E"/>
    <w:rPr>
      <w:color w:val="0563C1" w:themeColor="hyperlink"/>
      <w:u w:val="single"/>
    </w:rPr>
  </w:style>
  <w:style w:type="character" w:styleId="UnresolvedMention">
    <w:name w:val="Unresolved Mention"/>
    <w:basedOn w:val="DefaultParagraphFont"/>
    <w:uiPriority w:val="99"/>
    <w:semiHidden/>
    <w:unhideWhenUsed/>
    <w:rsid w:val="003C271E"/>
    <w:rPr>
      <w:color w:val="605E5C"/>
      <w:shd w:val="clear" w:color="auto" w:fill="E1DFDD"/>
    </w:rPr>
  </w:style>
  <w:style w:type="paragraph" w:styleId="BalloonText">
    <w:name w:val="Balloon Text"/>
    <w:basedOn w:val="Normal"/>
    <w:link w:val="BalloonTextChar"/>
    <w:uiPriority w:val="99"/>
    <w:semiHidden/>
    <w:unhideWhenUsed/>
    <w:rsid w:val="001858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8FC"/>
    <w:rPr>
      <w:rFonts w:ascii="Segoe UI" w:hAnsi="Segoe UI" w:cs="Segoe UI"/>
      <w:sz w:val="18"/>
      <w:szCs w:val="18"/>
    </w:rPr>
  </w:style>
  <w:style w:type="character" w:styleId="FollowedHyperlink">
    <w:name w:val="FollowedHyperlink"/>
    <w:basedOn w:val="DefaultParagraphFont"/>
    <w:uiPriority w:val="99"/>
    <w:semiHidden/>
    <w:unhideWhenUsed/>
    <w:rsid w:val="004266BD"/>
    <w:rPr>
      <w:color w:val="954F72" w:themeColor="followedHyperlink"/>
      <w:u w:val="single"/>
    </w:rPr>
  </w:style>
  <w:style w:type="paragraph" w:styleId="Header">
    <w:name w:val="header"/>
    <w:basedOn w:val="Normal"/>
    <w:link w:val="HeaderChar"/>
    <w:uiPriority w:val="99"/>
    <w:unhideWhenUsed/>
    <w:rsid w:val="00F24DE1"/>
    <w:pPr>
      <w:tabs>
        <w:tab w:val="center" w:pos="4680"/>
        <w:tab w:val="right" w:pos="9360"/>
      </w:tabs>
      <w:spacing w:after="0"/>
    </w:pPr>
  </w:style>
  <w:style w:type="character" w:customStyle="1" w:styleId="HeaderChar">
    <w:name w:val="Header Char"/>
    <w:basedOn w:val="DefaultParagraphFont"/>
    <w:link w:val="Header"/>
    <w:uiPriority w:val="99"/>
    <w:rsid w:val="00F24DE1"/>
  </w:style>
  <w:style w:type="paragraph" w:styleId="Footer">
    <w:name w:val="footer"/>
    <w:basedOn w:val="Normal"/>
    <w:link w:val="FooterChar"/>
    <w:uiPriority w:val="99"/>
    <w:unhideWhenUsed/>
    <w:rsid w:val="00F24DE1"/>
    <w:pPr>
      <w:tabs>
        <w:tab w:val="center" w:pos="4680"/>
        <w:tab w:val="right" w:pos="9360"/>
      </w:tabs>
      <w:spacing w:after="0"/>
    </w:pPr>
  </w:style>
  <w:style w:type="character" w:customStyle="1" w:styleId="FooterChar">
    <w:name w:val="Footer Char"/>
    <w:basedOn w:val="DefaultParagraphFont"/>
    <w:link w:val="Footer"/>
    <w:uiPriority w:val="99"/>
    <w:rsid w:val="00F2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1161">
      <w:bodyDiv w:val="1"/>
      <w:marLeft w:val="0"/>
      <w:marRight w:val="0"/>
      <w:marTop w:val="0"/>
      <w:marBottom w:val="0"/>
      <w:divBdr>
        <w:top w:val="none" w:sz="0" w:space="0" w:color="auto"/>
        <w:left w:val="none" w:sz="0" w:space="0" w:color="auto"/>
        <w:bottom w:val="none" w:sz="0" w:space="0" w:color="auto"/>
        <w:right w:val="none" w:sz="0" w:space="0" w:color="auto"/>
      </w:divBdr>
      <w:divsChild>
        <w:div w:id="1982268026">
          <w:marLeft w:val="0"/>
          <w:marRight w:val="0"/>
          <w:marTop w:val="0"/>
          <w:marBottom w:val="0"/>
          <w:divBdr>
            <w:top w:val="none" w:sz="0" w:space="0" w:color="auto"/>
            <w:left w:val="none" w:sz="0" w:space="0" w:color="auto"/>
            <w:bottom w:val="none" w:sz="0" w:space="0" w:color="auto"/>
            <w:right w:val="none" w:sz="0" w:space="0" w:color="auto"/>
          </w:divBdr>
        </w:div>
      </w:divsChild>
    </w:div>
    <w:div w:id="384914848">
      <w:bodyDiv w:val="1"/>
      <w:marLeft w:val="0"/>
      <w:marRight w:val="0"/>
      <w:marTop w:val="0"/>
      <w:marBottom w:val="0"/>
      <w:divBdr>
        <w:top w:val="none" w:sz="0" w:space="0" w:color="auto"/>
        <w:left w:val="none" w:sz="0" w:space="0" w:color="auto"/>
        <w:bottom w:val="none" w:sz="0" w:space="0" w:color="auto"/>
        <w:right w:val="none" w:sz="0" w:space="0" w:color="auto"/>
      </w:divBdr>
    </w:div>
    <w:div w:id="1322611855">
      <w:bodyDiv w:val="1"/>
      <w:marLeft w:val="0"/>
      <w:marRight w:val="0"/>
      <w:marTop w:val="0"/>
      <w:marBottom w:val="0"/>
      <w:divBdr>
        <w:top w:val="none" w:sz="0" w:space="0" w:color="auto"/>
        <w:left w:val="none" w:sz="0" w:space="0" w:color="auto"/>
        <w:bottom w:val="none" w:sz="0" w:space="0" w:color="auto"/>
        <w:right w:val="none" w:sz="0" w:space="0" w:color="auto"/>
      </w:divBdr>
      <w:divsChild>
        <w:div w:id="55400407">
          <w:marLeft w:val="0"/>
          <w:marRight w:val="0"/>
          <w:marTop w:val="0"/>
          <w:marBottom w:val="0"/>
          <w:divBdr>
            <w:top w:val="none" w:sz="0" w:space="0" w:color="auto"/>
            <w:left w:val="none" w:sz="0" w:space="0" w:color="auto"/>
            <w:bottom w:val="none" w:sz="0" w:space="0" w:color="auto"/>
            <w:right w:val="none" w:sz="0" w:space="0" w:color="auto"/>
          </w:divBdr>
        </w:div>
        <w:div w:id="2129424510">
          <w:marLeft w:val="0"/>
          <w:marRight w:val="0"/>
          <w:marTop w:val="0"/>
          <w:marBottom w:val="0"/>
          <w:divBdr>
            <w:top w:val="none" w:sz="0" w:space="0" w:color="auto"/>
            <w:left w:val="none" w:sz="0" w:space="0" w:color="auto"/>
            <w:bottom w:val="none" w:sz="0" w:space="0" w:color="auto"/>
            <w:right w:val="none" w:sz="0" w:space="0" w:color="auto"/>
          </w:divBdr>
        </w:div>
        <w:div w:id="989753240">
          <w:marLeft w:val="0"/>
          <w:marRight w:val="0"/>
          <w:marTop w:val="0"/>
          <w:marBottom w:val="0"/>
          <w:divBdr>
            <w:top w:val="none" w:sz="0" w:space="0" w:color="auto"/>
            <w:left w:val="none" w:sz="0" w:space="0" w:color="auto"/>
            <w:bottom w:val="none" w:sz="0" w:space="0" w:color="auto"/>
            <w:right w:val="none" w:sz="0" w:space="0" w:color="auto"/>
          </w:divBdr>
        </w:div>
      </w:divsChild>
    </w:div>
    <w:div w:id="1707942965">
      <w:bodyDiv w:val="1"/>
      <w:marLeft w:val="0"/>
      <w:marRight w:val="0"/>
      <w:marTop w:val="0"/>
      <w:marBottom w:val="0"/>
      <w:divBdr>
        <w:top w:val="none" w:sz="0" w:space="0" w:color="auto"/>
        <w:left w:val="none" w:sz="0" w:space="0" w:color="auto"/>
        <w:bottom w:val="none" w:sz="0" w:space="0" w:color="auto"/>
        <w:right w:val="none" w:sz="0" w:space="0" w:color="auto"/>
      </w:divBdr>
    </w:div>
    <w:div w:id="1849366706">
      <w:bodyDiv w:val="1"/>
      <w:marLeft w:val="0"/>
      <w:marRight w:val="0"/>
      <w:marTop w:val="0"/>
      <w:marBottom w:val="0"/>
      <w:divBdr>
        <w:top w:val="none" w:sz="0" w:space="0" w:color="auto"/>
        <w:left w:val="none" w:sz="0" w:space="0" w:color="auto"/>
        <w:bottom w:val="none" w:sz="0" w:space="0" w:color="auto"/>
        <w:right w:val="none" w:sz="0" w:space="0" w:color="auto"/>
      </w:divBdr>
    </w:div>
    <w:div w:id="19241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redCA.com/espano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veredca.com/espanol" TargetMode="External"/><Relationship Id="rId5" Type="http://schemas.openxmlformats.org/officeDocument/2006/relationships/footnotes" Target="footnotes.xml"/><Relationship Id="rId10" Type="http://schemas.openxmlformats.org/officeDocument/2006/relationships/hyperlink" Target="https://www.coveredca.com/espanol/" TargetMode="External"/><Relationship Id="rId4" Type="http://schemas.openxmlformats.org/officeDocument/2006/relationships/webSettings" Target="webSettings.xml"/><Relationship Id="rId9" Type="http://schemas.openxmlformats.org/officeDocument/2006/relationships/hyperlink" Target="https://www.coveredca.com/help-on-deman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Acevedo, Andrea (CoveredCA)</dc:creator>
  <cp:keywords/>
  <dc:description/>
  <cp:lastModifiedBy>Acevedo, Andrea (CoveredCA)</cp:lastModifiedBy>
  <cp:revision>2</cp:revision>
  <dcterms:created xsi:type="dcterms:W3CDTF">2026-02-26T17:38:00Z</dcterms:created>
  <dcterms:modified xsi:type="dcterms:W3CDTF">2026-02-26T17:38:00Z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2025-10-30T22:21:11Z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d065286e-00c2-4cf1-9077-8dc26e9907a0</vt:lpwstr>
  </property>
  <property fmtid="{D5CDD505-2E9C-101B-9397-08002B2CF9AE}" pid="8" name="MSIP_Label_1b8fe692-65eb-452b-9080-c3b135e23679_ContentBits">
    <vt:lpwstr>0</vt:lpwstr>
  </property>
  <property fmtid="{D5CDD505-2E9C-101B-9397-08002B2CF9AE}" pid="9" name="MSIP_Label_1b8fe692-65eb-452b-9080-c3b135e23679_Tag">
    <vt:lpwstr>10, 3, 0, 1</vt:lpwstr>
  </property>
</Properties>
</file>